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sz w:val="32"/>
          <w:szCs w:val="32"/>
        </w:rPr>
      </w:pPr>
      <w:r>
        <w:rPr>
          <w:rFonts w:hint="eastAsia" w:ascii="黑体" w:hAnsi="黑体" w:eastAsia="黑体"/>
          <w:sz w:val="32"/>
          <w:szCs w:val="32"/>
        </w:rPr>
        <w:t>马克思主义学院本科生综合考评成绩实施办法</w:t>
      </w:r>
    </w:p>
    <w:p>
      <w:pPr>
        <w:spacing w:before="156" w:beforeLines="50" w:after="156" w:afterLines="50" w:line="500" w:lineRule="exact"/>
        <w:jc w:val="center"/>
        <w:rPr>
          <w:rFonts w:ascii="仿宋_GB2312" w:hAnsi="宋体" w:eastAsia="仿宋_GB2312"/>
          <w:b/>
          <w:sz w:val="32"/>
          <w:szCs w:val="36"/>
        </w:rPr>
      </w:pPr>
      <w:r>
        <w:rPr>
          <w:rFonts w:hint="eastAsia" w:ascii="仿宋_GB2312" w:hAnsi="宋体" w:eastAsia="仿宋_GB2312"/>
          <w:b/>
          <w:sz w:val="32"/>
          <w:szCs w:val="36"/>
        </w:rPr>
        <w:t>一、总则</w:t>
      </w:r>
    </w:p>
    <w:p>
      <w:pPr>
        <w:spacing w:line="500" w:lineRule="exact"/>
        <w:ind w:firstLine="561"/>
        <w:rPr>
          <w:rFonts w:ascii="仿宋_GB2312" w:hAnsi="宋体" w:eastAsia="仿宋_GB2312"/>
          <w:sz w:val="28"/>
          <w:szCs w:val="28"/>
        </w:rPr>
      </w:pPr>
      <w:r>
        <w:rPr>
          <w:rFonts w:hint="eastAsia" w:ascii="仿宋_GB2312" w:hAnsi="宋体" w:eastAsia="仿宋_GB2312"/>
          <w:b/>
          <w:sz w:val="32"/>
          <w:szCs w:val="28"/>
        </w:rPr>
        <w:t>第一条</w:t>
      </w:r>
      <w:r>
        <w:rPr>
          <w:rFonts w:hint="eastAsia" w:ascii="仿宋_GB2312" w:hAnsi="宋体" w:eastAsia="仿宋_GB2312"/>
          <w:sz w:val="28"/>
          <w:szCs w:val="28"/>
        </w:rPr>
        <w:t xml:space="preserve"> 为更好地贯彻落实十九大精神及全国高校思想政治工作会议精神，切实有效地提高学生的综合素质，促进学生全面发展，适应学院人才培养需要，根据《南开大学“十三五”素质教育实施纲要》和《南开大学“公能”素质评估指导意见》，结合我院实际，制定本办法。</w:t>
      </w:r>
    </w:p>
    <w:p>
      <w:pPr>
        <w:spacing w:line="500" w:lineRule="exact"/>
        <w:ind w:firstLine="560"/>
        <w:rPr>
          <w:rFonts w:ascii="仿宋_GB2312" w:hAnsi="宋体" w:eastAsia="仿宋_GB2312"/>
          <w:sz w:val="28"/>
          <w:szCs w:val="28"/>
        </w:rPr>
      </w:pPr>
      <w:r>
        <w:rPr>
          <w:rFonts w:hint="eastAsia" w:ascii="仿宋_GB2312" w:hAnsi="宋体" w:eastAsia="仿宋_GB2312"/>
          <w:b/>
          <w:sz w:val="32"/>
          <w:szCs w:val="28"/>
        </w:rPr>
        <w:t>第二条</w:t>
      </w:r>
      <w:r>
        <w:rPr>
          <w:rFonts w:hint="eastAsia" w:ascii="仿宋_GB2312" w:hAnsi="宋体" w:eastAsia="仿宋_GB2312"/>
          <w:sz w:val="28"/>
          <w:szCs w:val="28"/>
        </w:rPr>
        <w:tab/>
      </w:r>
      <w:r>
        <w:rPr>
          <w:rFonts w:hint="eastAsia" w:ascii="仿宋_GB2312" w:hAnsi="宋体" w:eastAsia="仿宋_GB2312"/>
          <w:sz w:val="28"/>
          <w:szCs w:val="28"/>
        </w:rPr>
        <w:t>本办法适用范围为马克思主义学院本科各年级学生。</w:t>
      </w:r>
    </w:p>
    <w:p>
      <w:pPr>
        <w:spacing w:line="500" w:lineRule="exact"/>
        <w:ind w:firstLine="560"/>
        <w:rPr>
          <w:rFonts w:ascii="仿宋_GB2312" w:hAnsi="宋体" w:eastAsia="仿宋_GB2312"/>
          <w:sz w:val="28"/>
          <w:szCs w:val="28"/>
        </w:rPr>
      </w:pPr>
      <w:r>
        <w:rPr>
          <w:rFonts w:hint="eastAsia" w:ascii="仿宋_GB2312" w:hAnsi="宋体" w:eastAsia="仿宋_GB2312"/>
          <w:b/>
          <w:sz w:val="32"/>
          <w:szCs w:val="28"/>
        </w:rPr>
        <w:t>第三条</w:t>
      </w:r>
      <w:r>
        <w:rPr>
          <w:rFonts w:hint="eastAsia" w:ascii="仿宋_GB2312" w:hAnsi="宋体" w:eastAsia="仿宋_GB2312"/>
          <w:b/>
          <w:sz w:val="32"/>
          <w:szCs w:val="28"/>
        </w:rPr>
        <w:tab/>
      </w:r>
      <w:r>
        <w:rPr>
          <w:rFonts w:hint="eastAsia" w:ascii="仿宋_GB2312" w:hAnsi="宋体" w:eastAsia="仿宋_GB2312"/>
          <w:sz w:val="28"/>
          <w:szCs w:val="28"/>
        </w:rPr>
        <w:t>本办法规定之综合考评成绩用于学年评优、各类奖助学金评选等。</w:t>
      </w:r>
    </w:p>
    <w:p>
      <w:pPr>
        <w:spacing w:line="500" w:lineRule="exact"/>
        <w:ind w:firstLine="560"/>
        <w:rPr>
          <w:rFonts w:ascii="仿宋_GB2312" w:hAnsi="宋体" w:eastAsia="仿宋_GB2312"/>
          <w:sz w:val="28"/>
          <w:szCs w:val="28"/>
        </w:rPr>
      </w:pPr>
      <w:r>
        <w:rPr>
          <w:rFonts w:hint="eastAsia" w:ascii="仿宋_GB2312" w:hAnsi="宋体" w:eastAsia="仿宋_GB2312"/>
          <w:b/>
          <w:sz w:val="32"/>
          <w:szCs w:val="28"/>
        </w:rPr>
        <w:t>第四条</w:t>
      </w:r>
      <w:r>
        <w:rPr>
          <w:rFonts w:hint="eastAsia" w:ascii="仿宋_GB2312" w:hAnsi="宋体" w:eastAsia="仿宋_GB2312"/>
          <w:sz w:val="28"/>
          <w:szCs w:val="28"/>
        </w:rPr>
        <w:tab/>
      </w:r>
      <w:r>
        <w:rPr>
          <w:rFonts w:hint="eastAsia" w:ascii="仿宋_GB2312" w:hAnsi="宋体" w:eastAsia="仿宋_GB2312"/>
          <w:sz w:val="28"/>
          <w:szCs w:val="28"/>
        </w:rPr>
        <w:t>本办法的修订由学院学生工作办公室组织实施。</w:t>
      </w:r>
    </w:p>
    <w:p>
      <w:pPr>
        <w:spacing w:before="156" w:beforeLines="50" w:after="156" w:afterLines="50" w:line="500" w:lineRule="exact"/>
        <w:jc w:val="center"/>
        <w:rPr>
          <w:rFonts w:ascii="仿宋_GB2312" w:hAnsi="华文楷体" w:eastAsia="仿宋_GB2312"/>
          <w:b/>
          <w:sz w:val="32"/>
          <w:szCs w:val="36"/>
        </w:rPr>
      </w:pPr>
      <w:r>
        <w:rPr>
          <w:rFonts w:hint="eastAsia" w:ascii="仿宋_GB2312" w:hAnsi="华文楷体" w:eastAsia="仿宋_GB2312"/>
          <w:b/>
          <w:sz w:val="32"/>
          <w:szCs w:val="36"/>
        </w:rPr>
        <w:t>二、综合考评成绩的构成及素质</w:t>
      </w:r>
      <w:r>
        <w:rPr>
          <w:rFonts w:ascii="仿宋_GB2312" w:hAnsi="华文楷体" w:eastAsia="仿宋_GB2312"/>
          <w:b/>
          <w:sz w:val="32"/>
          <w:szCs w:val="36"/>
        </w:rPr>
        <w:t>测评</w:t>
      </w:r>
      <w:r>
        <w:rPr>
          <w:rFonts w:hint="eastAsia" w:ascii="仿宋_GB2312" w:hAnsi="华文楷体" w:eastAsia="仿宋_GB2312"/>
          <w:b/>
          <w:sz w:val="32"/>
          <w:szCs w:val="36"/>
        </w:rPr>
        <w:t>指标</w:t>
      </w:r>
    </w:p>
    <w:p>
      <w:pPr>
        <w:spacing w:line="500" w:lineRule="exact"/>
        <w:ind w:firstLine="630" w:firstLineChars="196"/>
        <w:rPr>
          <w:rFonts w:ascii="仿宋_GB2312" w:hAnsi="宋体" w:eastAsia="仿宋_GB2312"/>
          <w:sz w:val="28"/>
          <w:szCs w:val="28"/>
        </w:rPr>
      </w:pPr>
      <w:r>
        <w:rPr>
          <w:rFonts w:hint="eastAsia" w:ascii="仿宋_GB2312" w:hAnsi="宋体" w:eastAsia="仿宋_GB2312"/>
          <w:b/>
          <w:sz w:val="32"/>
          <w:szCs w:val="28"/>
        </w:rPr>
        <w:t>第五条</w:t>
      </w:r>
      <w:r>
        <w:rPr>
          <w:rFonts w:hint="eastAsia" w:ascii="仿宋_GB2312" w:hAnsi="宋体" w:eastAsia="仿宋_GB2312"/>
          <w:b/>
          <w:sz w:val="32"/>
          <w:szCs w:val="28"/>
        </w:rPr>
        <w:tab/>
      </w:r>
      <w:r>
        <w:rPr>
          <w:rFonts w:hint="eastAsia" w:ascii="仿宋_GB2312" w:hAnsi="宋体" w:eastAsia="仿宋_GB2312"/>
          <w:sz w:val="28"/>
          <w:szCs w:val="28"/>
        </w:rPr>
        <w:t>学生的综合考评成绩由两部分组成，一部分是学年ABCD类课平均学分绩，另一部分是学年综合素质成绩，即综合考评成绩=学年ABCD类课平均学分绩+综合素质成绩。</w:t>
      </w:r>
    </w:p>
    <w:p>
      <w:pPr>
        <w:spacing w:line="500" w:lineRule="exact"/>
        <w:ind w:firstLine="630" w:firstLineChars="196"/>
        <w:rPr>
          <w:rFonts w:ascii="仿宋_GB2312" w:hAnsi="宋体" w:eastAsia="仿宋_GB2312"/>
          <w:sz w:val="28"/>
          <w:szCs w:val="28"/>
        </w:rPr>
      </w:pPr>
      <w:r>
        <w:rPr>
          <w:rFonts w:hint="eastAsia" w:ascii="仿宋_GB2312" w:hAnsi="宋体" w:eastAsia="仿宋_GB2312"/>
          <w:b/>
          <w:sz w:val="32"/>
          <w:szCs w:val="28"/>
        </w:rPr>
        <w:t>第六条</w:t>
      </w:r>
      <w:r>
        <w:rPr>
          <w:rFonts w:hint="eastAsia" w:ascii="仿宋_GB2312" w:hAnsi="宋体" w:eastAsia="仿宋_GB2312"/>
          <w:b/>
          <w:sz w:val="32"/>
          <w:szCs w:val="28"/>
        </w:rPr>
        <w:tab/>
      </w:r>
      <w:r>
        <w:rPr>
          <w:rFonts w:hint="eastAsia" w:ascii="仿宋_GB2312" w:hAnsi="宋体" w:eastAsia="仿宋_GB2312"/>
          <w:sz w:val="28"/>
          <w:szCs w:val="28"/>
        </w:rPr>
        <w:t>综合素质成绩基础分为0分，依据不同的情形加减分。</w:t>
      </w:r>
    </w:p>
    <w:p>
      <w:pPr>
        <w:spacing w:line="500" w:lineRule="exact"/>
        <w:ind w:firstLine="643" w:firstLineChars="200"/>
        <w:rPr>
          <w:rFonts w:ascii="仿宋_GB2312" w:hAnsi="宋体" w:eastAsia="仿宋_GB2312"/>
          <w:b/>
          <w:sz w:val="32"/>
          <w:szCs w:val="32"/>
        </w:rPr>
      </w:pPr>
      <w:r>
        <w:rPr>
          <w:rFonts w:hint="eastAsia" w:ascii="仿宋_GB2312" w:hAnsi="新宋体" w:eastAsia="仿宋_GB2312"/>
          <w:b/>
          <w:sz w:val="32"/>
          <w:szCs w:val="28"/>
        </w:rPr>
        <w:t>第七条</w:t>
      </w:r>
      <w:r>
        <w:rPr>
          <w:rFonts w:hint="eastAsia" w:ascii="仿宋_GB2312" w:hAnsi="新宋体" w:eastAsia="仿宋_GB2312"/>
          <w:sz w:val="28"/>
          <w:szCs w:val="28"/>
        </w:rPr>
        <w:tab/>
      </w:r>
      <w:r>
        <w:rPr>
          <w:rFonts w:hint="eastAsia" w:ascii="仿宋_GB2312" w:hAnsi="新宋体" w:eastAsia="仿宋_GB2312"/>
          <w:sz w:val="28"/>
          <w:szCs w:val="28"/>
        </w:rPr>
        <w:t>参与集体活动</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1.无故不参加校、院、系（专业）组织的集体活动者，每次减0.2分，减分以每次活动的签到表为依据。</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校院各类检查评比中不合格的集体（包括班级、宿舍等），该集体每人每次减0.1分，减分总分不超过1分。校院各类检查评比中不合格的个人，第一次减0.1分，第二次减0.2分，第三次减0.3分，依此类推。减分总分不超过0.6分。</w:t>
      </w:r>
    </w:p>
    <w:p>
      <w:pPr>
        <w:spacing w:line="500" w:lineRule="exact"/>
        <w:ind w:firstLine="602" w:firstLineChars="200"/>
        <w:rPr>
          <w:rFonts w:ascii="仿宋_GB2312" w:hAnsi="新宋体" w:eastAsia="仿宋_GB2312"/>
          <w:sz w:val="28"/>
          <w:szCs w:val="28"/>
        </w:rPr>
      </w:pPr>
      <w:r>
        <w:rPr>
          <w:rFonts w:hint="eastAsia" w:ascii="仿宋_GB2312" w:hAnsi="微软雅黑" w:eastAsia="仿宋_GB2312"/>
          <w:b/>
          <w:sz w:val="30"/>
          <w:szCs w:val="30"/>
        </w:rPr>
        <w:t>第八条</w:t>
      </w:r>
      <w:r>
        <w:rPr>
          <w:rFonts w:hint="eastAsia" w:ascii="仿宋_GB2312" w:hAnsi="微软雅黑" w:eastAsia="仿宋_GB2312"/>
          <w:b/>
          <w:sz w:val="30"/>
          <w:szCs w:val="30"/>
        </w:rPr>
        <w:tab/>
      </w:r>
      <w:r>
        <w:rPr>
          <w:rFonts w:hint="eastAsia" w:ascii="仿宋_GB2312" w:hAnsi="新宋体" w:eastAsia="仿宋_GB2312"/>
          <w:sz w:val="28"/>
          <w:szCs w:val="28"/>
        </w:rPr>
        <w:t>承担学生工作</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1.担任校级团委、学生会等组织主席团级别职务及学院团委副书记、学生会主席团级别职务、学生党支部书记的干部，经考评合格者加0.6分。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2.担任校级团委、学生会部长级职务及学院团委部长级职务、学生会部长级职务、学生党支部委员职务的干部，经考评合格者加0.4分。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3.担任</w:t>
      </w:r>
      <w:r>
        <w:rPr>
          <w:rFonts w:ascii="仿宋_GB2312" w:hAnsi="宋体" w:eastAsia="仿宋_GB2312"/>
          <w:sz w:val="28"/>
          <w:szCs w:val="28"/>
        </w:rPr>
        <w:t>班级、</w:t>
      </w:r>
      <w:r>
        <w:rPr>
          <w:rFonts w:hint="eastAsia" w:ascii="仿宋_GB2312" w:hAnsi="宋体" w:eastAsia="仿宋_GB2312"/>
          <w:sz w:val="28"/>
          <w:szCs w:val="28"/>
        </w:rPr>
        <w:t>团支部</w:t>
      </w:r>
      <w:r>
        <w:rPr>
          <w:rFonts w:ascii="仿宋_GB2312" w:hAnsi="宋体" w:eastAsia="仿宋_GB2312"/>
          <w:sz w:val="28"/>
          <w:szCs w:val="28"/>
        </w:rPr>
        <w:t>干部，</w:t>
      </w:r>
      <w:r>
        <w:rPr>
          <w:rFonts w:hint="eastAsia" w:ascii="仿宋_GB2312" w:hAnsi="宋体" w:eastAsia="仿宋_GB2312"/>
          <w:sz w:val="28"/>
          <w:szCs w:val="28"/>
        </w:rPr>
        <w:t>经考评合格者</w:t>
      </w:r>
      <w:r>
        <w:rPr>
          <w:rFonts w:ascii="仿宋_GB2312" w:hAnsi="宋体" w:eastAsia="仿宋_GB2312"/>
          <w:sz w:val="28"/>
          <w:szCs w:val="28"/>
        </w:rPr>
        <w:t>加0.2</w:t>
      </w:r>
      <w:r>
        <w:rPr>
          <w:rFonts w:hint="eastAsia" w:ascii="仿宋_GB2312" w:hAnsi="宋体" w:eastAsia="仿宋_GB2312"/>
          <w:sz w:val="28"/>
          <w:szCs w:val="28"/>
        </w:rPr>
        <w:t>分</w:t>
      </w:r>
      <w:r>
        <w:rPr>
          <w:rFonts w:ascii="仿宋_GB2312" w:hAnsi="宋体" w:eastAsia="仿宋_GB2312"/>
          <w:sz w:val="28"/>
          <w:szCs w:val="28"/>
        </w:rPr>
        <w:t>。</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4.担任</w:t>
      </w:r>
      <w:r>
        <w:rPr>
          <w:rFonts w:ascii="仿宋_GB2312" w:hAnsi="宋体" w:eastAsia="仿宋_GB2312"/>
          <w:sz w:val="28"/>
          <w:szCs w:val="28"/>
        </w:rPr>
        <w:t>班级、</w:t>
      </w:r>
      <w:r>
        <w:rPr>
          <w:rFonts w:hint="eastAsia" w:ascii="仿宋_GB2312" w:hAnsi="宋体" w:eastAsia="仿宋_GB2312"/>
          <w:sz w:val="28"/>
          <w:szCs w:val="28"/>
        </w:rPr>
        <w:t>团支部以及学院各类团学组织中层以上干部，任期未满辞职的，减0.4分。</w:t>
      </w:r>
    </w:p>
    <w:p>
      <w:pPr>
        <w:spacing w:line="500" w:lineRule="exact"/>
        <w:ind w:firstLine="560" w:firstLineChars="200"/>
        <w:rPr>
          <w:rFonts w:ascii="仿宋_GB2312" w:hAnsi="微软雅黑" w:eastAsia="仿宋_GB2312"/>
          <w:sz w:val="28"/>
        </w:rPr>
      </w:pPr>
      <w:r>
        <w:rPr>
          <w:rFonts w:hint="eastAsia" w:ascii="仿宋_GB2312" w:hAnsi="微软雅黑" w:eastAsia="仿宋_GB2312"/>
          <w:sz w:val="28"/>
        </w:rPr>
        <w:t>5.结合马院专业特点，在校级学生理论社团工作的学生干部，</w:t>
      </w:r>
      <w:r>
        <w:rPr>
          <w:rFonts w:hint="eastAsia" w:ascii="仿宋_GB2312" w:hAnsi="宋体" w:eastAsia="仿宋_GB2312"/>
          <w:sz w:val="28"/>
          <w:szCs w:val="28"/>
        </w:rPr>
        <w:t>经考评合格者，</w:t>
      </w:r>
      <w:r>
        <w:rPr>
          <w:rFonts w:hint="eastAsia" w:ascii="仿宋_GB2312" w:hAnsi="微软雅黑" w:eastAsia="仿宋_GB2312"/>
          <w:sz w:val="28"/>
        </w:rPr>
        <w:t>社长级加0.3分，部长级加0.1分，在其余各类社团工作的学生干部一律不加分。</w:t>
      </w:r>
    </w:p>
    <w:p>
      <w:pPr>
        <w:spacing w:line="500" w:lineRule="exact"/>
        <w:ind w:firstLine="560" w:firstLineChars="200"/>
        <w:rPr>
          <w:rFonts w:ascii="楷体" w:hAnsi="楷体" w:eastAsia="楷体"/>
          <w:sz w:val="28"/>
        </w:rPr>
      </w:pPr>
      <w:r>
        <w:rPr>
          <w:rFonts w:hint="eastAsia" w:ascii="楷体" w:hAnsi="楷体" w:eastAsia="楷体"/>
          <w:sz w:val="28"/>
        </w:rPr>
        <w:t xml:space="preserve">注：所担任职务必须考评合格方可加分。凡担任多个学生干部职务者，加分计算方式如下：担任两个职务且都考评合格的，按最高职务的加分分数 </w:t>
      </w:r>
      <w:r>
        <w:rPr>
          <w:rFonts w:hint="eastAsia" w:ascii="华文楷体" w:hAnsi="华文楷体" w:eastAsia="华文楷体" w:cs="宋体"/>
          <w:szCs w:val="28"/>
        </w:rPr>
        <w:t xml:space="preserve">╳ </w:t>
      </w:r>
      <w:r>
        <w:rPr>
          <w:rFonts w:hint="eastAsia" w:ascii="楷体" w:hAnsi="楷体" w:eastAsia="楷体"/>
          <w:sz w:val="28"/>
        </w:rPr>
        <w:t xml:space="preserve">系数1.2；担任三个及以上职务且都考评合格的，按最高职务的加分分数 </w:t>
      </w:r>
      <w:r>
        <w:rPr>
          <w:rFonts w:hint="eastAsia" w:ascii="华文楷体" w:hAnsi="华文楷体" w:eastAsia="华文楷体" w:cs="宋体"/>
          <w:szCs w:val="28"/>
        </w:rPr>
        <w:t>╳</w:t>
      </w:r>
      <w:r>
        <w:rPr>
          <w:rFonts w:hint="eastAsia" w:ascii="楷体" w:hAnsi="楷体" w:eastAsia="楷体"/>
          <w:sz w:val="28"/>
        </w:rPr>
        <w:t>系数1.5。在学院之外的团学组织担任学生干部，需提前向学院提供由本人所在团学组织主管老师出具的工作考核合格的书面证明。</w:t>
      </w:r>
    </w:p>
    <w:p>
      <w:pPr>
        <w:spacing w:line="500" w:lineRule="exact"/>
        <w:ind w:firstLine="643" w:firstLineChars="200"/>
        <w:rPr>
          <w:rFonts w:ascii="仿宋_GB2312" w:hAnsi="新宋体" w:eastAsia="仿宋_GB2312"/>
          <w:sz w:val="28"/>
          <w:szCs w:val="28"/>
        </w:rPr>
      </w:pPr>
      <w:r>
        <w:rPr>
          <w:rFonts w:hint="eastAsia" w:ascii="仿宋_GB2312" w:hAnsi="新宋体" w:eastAsia="仿宋_GB2312"/>
          <w:b/>
          <w:sz w:val="32"/>
          <w:szCs w:val="28"/>
        </w:rPr>
        <w:t>第九条</w:t>
      </w:r>
      <w:r>
        <w:rPr>
          <w:rFonts w:hint="eastAsia" w:ascii="仿宋_GB2312" w:hAnsi="新宋体" w:eastAsia="仿宋_GB2312"/>
          <w:sz w:val="28"/>
          <w:szCs w:val="28"/>
        </w:rPr>
        <w:tab/>
      </w:r>
      <w:r>
        <w:rPr>
          <w:rFonts w:hint="eastAsia" w:ascii="仿宋_GB2312" w:hAnsi="新宋体" w:eastAsia="仿宋_GB2312"/>
          <w:sz w:val="28"/>
          <w:szCs w:val="28"/>
        </w:rPr>
        <w:t>先进集体和个人</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1.先进集体、优秀志愿服务集体等。依照获奖级别，国家级1分/人、省级0.6分/人，校级0.4分/人，院级0.2分/人。</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2.先进个人（不含校级三好学生、校级优秀学生干部)。依照获奖级别，国家级1.2分/人、省级0.6分/人，校级0.4分/人，院级0.2分/人。</w:t>
      </w:r>
    </w:p>
    <w:p>
      <w:pPr>
        <w:spacing w:line="500" w:lineRule="exact"/>
        <w:ind w:firstLine="643" w:firstLineChars="200"/>
        <w:rPr>
          <w:rFonts w:ascii="仿宋_GB2312" w:hAnsi="新宋体" w:eastAsia="仿宋_GB2312"/>
          <w:sz w:val="28"/>
          <w:szCs w:val="28"/>
        </w:rPr>
      </w:pPr>
      <w:r>
        <w:rPr>
          <w:rFonts w:hint="eastAsia" w:ascii="仿宋_GB2312" w:hAnsi="新宋体" w:eastAsia="仿宋_GB2312"/>
          <w:b/>
          <w:sz w:val="32"/>
          <w:szCs w:val="28"/>
        </w:rPr>
        <w:t>第十条</w:t>
      </w:r>
      <w:r>
        <w:rPr>
          <w:rFonts w:hint="eastAsia" w:ascii="仿宋_GB2312" w:hAnsi="新宋体" w:eastAsia="仿宋_GB2312"/>
          <w:sz w:val="28"/>
          <w:szCs w:val="28"/>
        </w:rPr>
        <w:tab/>
      </w:r>
      <w:r>
        <w:rPr>
          <w:rFonts w:hint="eastAsia" w:ascii="仿宋_GB2312" w:hAnsi="新宋体" w:eastAsia="仿宋_GB2312"/>
          <w:sz w:val="28"/>
          <w:szCs w:val="28"/>
        </w:rPr>
        <w:t>专业学术创新成果</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1.学生在各类杂志上发表专业学术论文，发表在核心期刊和普通期刊的，第一作者分别加1.</w:t>
      </w:r>
      <w:r>
        <w:rPr>
          <w:rFonts w:ascii="仿宋_GB2312" w:hAnsi="宋体" w:eastAsia="仿宋_GB2312"/>
          <w:sz w:val="28"/>
          <w:szCs w:val="28"/>
        </w:rPr>
        <w:t>8</w:t>
      </w:r>
      <w:r>
        <w:rPr>
          <w:rFonts w:hint="eastAsia" w:ascii="仿宋_GB2312" w:hAnsi="宋体" w:eastAsia="仿宋_GB2312"/>
          <w:sz w:val="28"/>
          <w:szCs w:val="28"/>
        </w:rPr>
        <w:t>分和1.</w:t>
      </w:r>
      <w:r>
        <w:rPr>
          <w:rFonts w:ascii="仿宋_GB2312" w:hAnsi="宋体" w:eastAsia="仿宋_GB2312"/>
          <w:sz w:val="28"/>
          <w:szCs w:val="28"/>
        </w:rPr>
        <w:t>2</w:t>
      </w:r>
      <w:r>
        <w:rPr>
          <w:rFonts w:hint="eastAsia" w:ascii="仿宋_GB2312" w:hAnsi="宋体" w:eastAsia="仿宋_GB2312"/>
          <w:sz w:val="28"/>
          <w:szCs w:val="28"/>
        </w:rPr>
        <w:t>分，非第一作者分别</w:t>
      </w:r>
      <w:r>
        <w:rPr>
          <w:rFonts w:ascii="仿宋_GB2312" w:hAnsi="宋体" w:eastAsia="仿宋_GB2312"/>
          <w:sz w:val="28"/>
          <w:szCs w:val="28"/>
        </w:rPr>
        <w:t>加1.2</w:t>
      </w:r>
      <w:r>
        <w:rPr>
          <w:rFonts w:hint="eastAsia" w:ascii="仿宋_GB2312" w:hAnsi="宋体" w:eastAsia="仿宋_GB2312"/>
          <w:sz w:val="28"/>
          <w:szCs w:val="28"/>
        </w:rPr>
        <w:t>分</w:t>
      </w:r>
      <w:r>
        <w:rPr>
          <w:rFonts w:ascii="仿宋_GB2312" w:hAnsi="宋体" w:eastAsia="仿宋_GB2312"/>
          <w:sz w:val="28"/>
          <w:szCs w:val="28"/>
        </w:rPr>
        <w:t>和0.6</w:t>
      </w:r>
      <w:r>
        <w:rPr>
          <w:rFonts w:hint="eastAsia" w:ascii="仿宋_GB2312" w:hAnsi="宋体" w:eastAsia="仿宋_GB2312"/>
          <w:sz w:val="28"/>
          <w:szCs w:val="28"/>
        </w:rPr>
        <w:t>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2.学年内若学生自主申报参加“挑战杯”、“梦想+”</w:t>
      </w:r>
      <w:r>
        <w:rPr>
          <w:rFonts w:ascii="仿宋_GB2312" w:hAnsi="宋体" w:eastAsia="仿宋_GB2312"/>
          <w:sz w:val="28"/>
          <w:szCs w:val="28"/>
        </w:rPr>
        <w:t>等</w:t>
      </w:r>
      <w:r>
        <w:rPr>
          <w:rFonts w:hint="eastAsia" w:ascii="仿宋_GB2312" w:hAnsi="宋体" w:eastAsia="仿宋_GB2312"/>
          <w:sz w:val="28"/>
          <w:szCs w:val="28"/>
        </w:rPr>
        <w:t>赛事且成功立项的，项目第一负责人加0.2分，成员加0.1分。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3.学生参加国家大学生创新性实验计划项目（国创）的，在项目结项评审当年，根据获奖等级加分。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特等奖：项目组负责人1.</w:t>
      </w:r>
      <w:r>
        <w:rPr>
          <w:rFonts w:ascii="仿宋_GB2312" w:hAnsi="宋体" w:eastAsia="仿宋_GB2312"/>
          <w:sz w:val="28"/>
          <w:szCs w:val="28"/>
        </w:rPr>
        <w:t>5</w:t>
      </w:r>
      <w:r>
        <w:rPr>
          <w:rFonts w:hint="eastAsia" w:ascii="仿宋_GB2312" w:hAnsi="宋体" w:eastAsia="仿宋_GB2312"/>
          <w:sz w:val="28"/>
          <w:szCs w:val="28"/>
        </w:rPr>
        <w:t>分，成员1</w:t>
      </w:r>
      <w:r>
        <w:rPr>
          <w:rFonts w:ascii="仿宋_GB2312" w:hAnsi="宋体" w:eastAsia="仿宋_GB2312"/>
          <w:sz w:val="28"/>
          <w:szCs w:val="28"/>
        </w:rPr>
        <w:t>.2</w:t>
      </w:r>
      <w:r>
        <w:rPr>
          <w:rFonts w:hint="eastAsia" w:ascii="仿宋_GB2312" w:hAnsi="宋体" w:eastAsia="仿宋_GB2312"/>
          <w:sz w:val="28"/>
          <w:szCs w:val="28"/>
        </w:rPr>
        <w:t>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一等奖：项目组负责人1</w:t>
      </w:r>
      <w:r>
        <w:rPr>
          <w:rFonts w:ascii="仿宋_GB2312" w:hAnsi="宋体" w:eastAsia="仿宋_GB2312"/>
          <w:sz w:val="28"/>
          <w:szCs w:val="28"/>
        </w:rPr>
        <w:t>.2</w:t>
      </w:r>
      <w:r>
        <w:rPr>
          <w:rFonts w:hint="eastAsia" w:ascii="仿宋_GB2312" w:hAnsi="宋体" w:eastAsia="仿宋_GB2312"/>
          <w:sz w:val="28"/>
          <w:szCs w:val="28"/>
        </w:rPr>
        <w:t>分，成员1分；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二等奖：项目组负责人0.8分，成员0.6分；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三等奖：项目组负责人0.6分，成员0.4分；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学生参加市创、校百项创新工程，在项目结项评审当年，根据获奖等级加分。加分分值为相应上述分值的70%和40%。</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4.学生参与学院“学术实践”和校团委</w:t>
      </w:r>
      <w:r>
        <w:rPr>
          <w:rFonts w:ascii="仿宋_GB2312" w:hAnsi="宋体" w:eastAsia="仿宋_GB2312"/>
          <w:sz w:val="28"/>
          <w:szCs w:val="28"/>
        </w:rPr>
        <w:t>理论</w:t>
      </w:r>
      <w:r>
        <w:rPr>
          <w:rFonts w:hint="eastAsia" w:ascii="仿宋_GB2312" w:hAnsi="宋体" w:eastAsia="仿宋_GB2312"/>
          <w:sz w:val="28"/>
          <w:szCs w:val="28"/>
        </w:rPr>
        <w:t>立项的，在项目结题评审当年，根据获奖等级加分。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一等奖：项目组负责人0.6分，成员0.4分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二等奖：项目组负责人0.4分，成员0.2分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三等奖：项目组负责人0.2分，成员0.1分</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注：所有专业学术项目的申报中，同一团队以同一课题或作品参加多个项目申报的，仅取最高分值加分一次。如同一团队申报相似课题，经评审委员会审查后公布加分资格。</w:t>
      </w:r>
    </w:p>
    <w:p>
      <w:pPr>
        <w:spacing w:line="500" w:lineRule="exact"/>
        <w:ind w:firstLine="643" w:firstLineChars="200"/>
        <w:rPr>
          <w:rFonts w:ascii="仿宋_GB2312" w:hAnsi="新宋体" w:eastAsia="仿宋_GB2312"/>
          <w:sz w:val="28"/>
          <w:szCs w:val="28"/>
        </w:rPr>
      </w:pPr>
      <w:r>
        <w:rPr>
          <w:rFonts w:hint="eastAsia" w:ascii="仿宋_GB2312" w:hAnsi="微软雅黑" w:eastAsia="仿宋_GB2312"/>
          <w:b/>
          <w:sz w:val="32"/>
        </w:rPr>
        <w:t>第十一条</w:t>
      </w:r>
      <w:r>
        <w:rPr>
          <w:rFonts w:hint="eastAsia" w:ascii="仿宋_GB2312" w:hAnsi="微软雅黑" w:eastAsia="仿宋_GB2312"/>
          <w:b/>
          <w:sz w:val="28"/>
        </w:rPr>
        <w:tab/>
      </w:r>
      <w:r>
        <w:rPr>
          <w:rFonts w:hint="eastAsia" w:ascii="仿宋_GB2312" w:hAnsi="新宋体" w:eastAsia="仿宋_GB2312"/>
          <w:sz w:val="28"/>
          <w:szCs w:val="28"/>
        </w:rPr>
        <w:t>素质拓展类成果</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1.学生参加各类文体竞赛获奖的，依参赛级别和获奖等级加分。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省级以上：一等奖0.5分，二等奖0.4分，三等奖0.3分</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校内：一等奖0.</w:t>
      </w:r>
      <w:r>
        <w:rPr>
          <w:rFonts w:ascii="仿宋_GB2312" w:hAnsi="宋体" w:eastAsia="仿宋_GB2312"/>
          <w:sz w:val="28"/>
          <w:szCs w:val="28"/>
        </w:rPr>
        <w:t>2</w:t>
      </w:r>
      <w:r>
        <w:rPr>
          <w:rFonts w:hint="eastAsia" w:ascii="仿宋_GB2312" w:hAnsi="宋体" w:eastAsia="仿宋_GB2312"/>
          <w:sz w:val="28"/>
          <w:szCs w:val="28"/>
        </w:rPr>
        <w:t>分，二等奖0.1分，三等奖0.</w:t>
      </w:r>
      <w:r>
        <w:rPr>
          <w:rFonts w:ascii="仿宋_GB2312" w:hAnsi="宋体" w:eastAsia="仿宋_GB2312"/>
          <w:sz w:val="28"/>
          <w:szCs w:val="28"/>
        </w:rPr>
        <w:t>05</w:t>
      </w:r>
      <w:r>
        <w:rPr>
          <w:rFonts w:hint="eastAsia" w:ascii="仿宋_GB2312" w:hAnsi="宋体" w:eastAsia="仿宋_GB2312"/>
          <w:sz w:val="28"/>
          <w:szCs w:val="28"/>
        </w:rPr>
        <w:t>分</w:t>
      </w:r>
    </w:p>
    <w:p>
      <w:pPr>
        <w:spacing w:line="500" w:lineRule="exact"/>
        <w:ind w:firstLine="560" w:firstLineChars="200"/>
        <w:rPr>
          <w:rFonts w:ascii="仿宋_GB2312" w:hAnsi="宋体" w:eastAsia="仿宋_GB2312" w:cs="宋体"/>
          <w:sz w:val="28"/>
          <w:szCs w:val="28"/>
        </w:rPr>
      </w:pPr>
      <w:r>
        <w:rPr>
          <w:rFonts w:hint="eastAsia" w:ascii="仿宋_GB2312" w:hAnsi="微软雅黑" w:eastAsia="仿宋_GB2312"/>
          <w:sz w:val="28"/>
          <w:szCs w:val="28"/>
        </w:rPr>
        <w:t>文体</w:t>
      </w:r>
      <w:r>
        <w:rPr>
          <w:rFonts w:hint="eastAsia" w:ascii="仿宋_GB2312" w:hAnsi="宋体" w:eastAsia="仿宋_GB2312" w:cs="宋体"/>
          <w:sz w:val="28"/>
          <w:szCs w:val="28"/>
        </w:rPr>
        <w:t>类竞赛获奖，第一名为一等奖，第二、三名为二等奖，第四、五、六名为三等奖。各类文体竞赛获奖成绩可以累加，累加后不得超过0.</w:t>
      </w:r>
      <w:r>
        <w:rPr>
          <w:rFonts w:ascii="仿宋_GB2312" w:hAnsi="宋体" w:eastAsia="仿宋_GB2312" w:cs="宋体"/>
          <w:sz w:val="28"/>
          <w:szCs w:val="28"/>
        </w:rPr>
        <w:t>6</w:t>
      </w:r>
      <w:r>
        <w:rPr>
          <w:rFonts w:hint="eastAsia" w:ascii="仿宋_GB2312" w:hAnsi="宋体" w:eastAsia="仿宋_GB2312" w:cs="宋体"/>
          <w:sz w:val="28"/>
          <w:szCs w:val="28"/>
        </w:rPr>
        <w:t>分。</w:t>
      </w:r>
      <w:r>
        <w:rPr>
          <w:rFonts w:hint="eastAsia" w:ascii="仿宋_GB2312" w:hAnsi="宋体" w:eastAsia="仿宋_GB2312"/>
          <w:sz w:val="28"/>
          <w:szCs w:val="28"/>
        </w:rPr>
        <w:t>社团单独组织的竞赛不在加分之列，但社团承办的各类比赛可以比照主办单位级别给以加分。</w:t>
      </w:r>
      <w:r>
        <w:rPr>
          <w:rFonts w:hint="eastAsia" w:ascii="仿宋_GB2312" w:hAnsi="宋体" w:eastAsia="仿宋_GB2312" w:cs="宋体"/>
          <w:sz w:val="28"/>
          <w:szCs w:val="28"/>
        </w:rPr>
        <w:t>集体参加文体竞赛获奖的，个人加分分值为规定的</w:t>
      </w:r>
      <w:r>
        <w:rPr>
          <w:rFonts w:ascii="仿宋_GB2312" w:hAnsi="宋体" w:eastAsia="仿宋_GB2312" w:cs="宋体"/>
          <w:sz w:val="28"/>
          <w:szCs w:val="28"/>
        </w:rPr>
        <w:t>6</w:t>
      </w:r>
      <w:r>
        <w:rPr>
          <w:rFonts w:hint="eastAsia" w:ascii="仿宋_GB2312" w:hAnsi="宋体" w:eastAsia="仿宋_GB2312" w:cs="宋体"/>
          <w:sz w:val="28"/>
          <w:szCs w:val="28"/>
        </w:rPr>
        <w:t>0%。</w:t>
      </w:r>
    </w:p>
    <w:p>
      <w:pPr>
        <w:spacing w:line="5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南开大学“五月的鲜花”合唱比赛,获一等奖或二等奖的,参赛队员的加分分值为校级文体竞赛相应获奖等级的2倍;其他名次的,参赛队员每人加0.15分。参赛队员需达到排练出勤次数的90%（含）以上且最终参加比赛，方可具备加分资格。</w:t>
      </w:r>
    </w:p>
    <w:p>
      <w:pPr>
        <w:spacing w:line="5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2.学生参加社会实践受表彰的优秀团队和先进个人，按照获奖等级加分，国家级0.8分，省市级0.6分，校级0.4分，院级0.2分。</w:t>
      </w:r>
    </w:p>
    <w:p>
      <w:pPr>
        <w:spacing w:line="5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每个</w:t>
      </w:r>
      <w:r>
        <w:rPr>
          <w:rFonts w:ascii="仿宋_GB2312" w:hAnsi="宋体" w:eastAsia="仿宋_GB2312" w:cs="宋体"/>
          <w:sz w:val="28"/>
          <w:szCs w:val="28"/>
        </w:rPr>
        <w:t>等</w:t>
      </w:r>
      <w:r>
        <w:rPr>
          <w:rFonts w:hint="eastAsia" w:ascii="仿宋_GB2312" w:hAnsi="宋体" w:eastAsia="仿宋_GB2312" w:cs="宋体"/>
          <w:sz w:val="28"/>
          <w:szCs w:val="28"/>
        </w:rPr>
        <w:t>级</w:t>
      </w:r>
      <w:r>
        <w:rPr>
          <w:rFonts w:ascii="仿宋_GB2312" w:hAnsi="宋体" w:eastAsia="仿宋_GB2312" w:cs="宋体"/>
          <w:sz w:val="28"/>
          <w:szCs w:val="28"/>
        </w:rPr>
        <w:t>中的不同奖项依据获奖人数</w:t>
      </w:r>
      <w:r>
        <w:rPr>
          <w:rFonts w:hint="eastAsia" w:ascii="仿宋_GB2312" w:hAnsi="宋体" w:eastAsia="仿宋_GB2312" w:cs="宋体"/>
          <w:sz w:val="28"/>
          <w:szCs w:val="28"/>
        </w:rPr>
        <w:t>计算百分比</w:t>
      </w:r>
      <w:r>
        <w:rPr>
          <w:rFonts w:ascii="仿宋_GB2312" w:hAnsi="宋体" w:eastAsia="仿宋_GB2312" w:cs="宋体"/>
          <w:sz w:val="28"/>
          <w:szCs w:val="28"/>
        </w:rPr>
        <w:t>，</w:t>
      </w:r>
      <w:r>
        <w:rPr>
          <w:rFonts w:hint="eastAsia" w:ascii="仿宋_GB2312" w:hAnsi="宋体" w:eastAsia="仿宋_GB2312" w:cs="宋体"/>
          <w:sz w:val="28"/>
          <w:szCs w:val="28"/>
        </w:rPr>
        <w:t>奖项最终</w:t>
      </w:r>
      <w:r>
        <w:rPr>
          <w:rFonts w:ascii="仿宋_GB2312" w:hAnsi="宋体" w:eastAsia="仿宋_GB2312" w:cs="宋体"/>
          <w:sz w:val="28"/>
          <w:szCs w:val="28"/>
        </w:rPr>
        <w:t>得分为等级分</w:t>
      </w:r>
      <w:r>
        <w:rPr>
          <w:rFonts w:hint="eastAsia" w:ascii="仿宋_GB2312" w:hAnsi="宋体" w:eastAsia="仿宋_GB2312" w:cs="宋体"/>
          <w:sz w:val="28"/>
          <w:szCs w:val="28"/>
        </w:rPr>
        <w:t xml:space="preserve"> </w:t>
      </w:r>
      <w:r>
        <w:rPr>
          <w:rFonts w:hint="eastAsia" w:ascii="华文楷体" w:hAnsi="华文楷体" w:eastAsia="华文楷体" w:cs="宋体"/>
          <w:szCs w:val="28"/>
        </w:rPr>
        <w:t xml:space="preserve">╳ </w:t>
      </w:r>
      <w:r>
        <w:rPr>
          <w:rFonts w:hint="eastAsia" w:ascii="仿宋_GB2312" w:hAnsi="宋体" w:eastAsia="仿宋_GB2312" w:cs="宋体"/>
          <w:sz w:val="28"/>
          <w:szCs w:val="28"/>
        </w:rPr>
        <w:t>获奖人数百分比</w:t>
      </w:r>
      <w:r>
        <w:rPr>
          <w:rFonts w:ascii="仿宋_GB2312" w:hAnsi="宋体" w:eastAsia="仿宋_GB2312" w:cs="宋体"/>
          <w:sz w:val="28"/>
          <w:szCs w:val="28"/>
        </w:rPr>
        <w:t>。</w:t>
      </w:r>
    </w:p>
    <w:p>
      <w:pPr>
        <w:spacing w:line="500" w:lineRule="exact"/>
        <w:ind w:firstLine="560"/>
        <w:rPr>
          <w:rFonts w:ascii="仿宋_GB2312" w:hAnsi="宋体" w:eastAsia="仿宋_GB2312" w:cs="宋体"/>
          <w:sz w:val="28"/>
          <w:szCs w:val="28"/>
        </w:rPr>
      </w:pPr>
      <w:r>
        <w:rPr>
          <w:rFonts w:hint="eastAsia" w:ascii="仿宋_GB2312" w:hAnsi="宋体" w:eastAsia="仿宋_GB2312" w:cs="宋体"/>
          <w:sz w:val="28"/>
          <w:szCs w:val="28"/>
        </w:rPr>
        <w:t>3.学生参与国家形势政策、党的历史、马克思主义理论等专业相关内容的正式宣讲，且满足以下条件：（1）由学校、学院派出；（2）独立宣讲，宣讲时间1小时以上；（3）有宣讲新闻报道和证明材料。按照邀请单位的级别加分，国家级单位1分/次，省部级单位0.8分/次，校际、社区等0.3分/次，校内0.1分</w:t>
      </w:r>
      <w:r>
        <w:rPr>
          <w:rFonts w:ascii="仿宋_GB2312" w:hAnsi="宋体" w:eastAsia="仿宋_GB2312" w:cs="宋体"/>
          <w:sz w:val="28"/>
          <w:szCs w:val="28"/>
        </w:rPr>
        <w:t>/</w:t>
      </w:r>
      <w:r>
        <w:rPr>
          <w:rFonts w:hint="eastAsia" w:ascii="仿宋_GB2312" w:hAnsi="宋体" w:eastAsia="仿宋_GB2312" w:cs="宋体"/>
          <w:sz w:val="28"/>
          <w:szCs w:val="28"/>
        </w:rPr>
        <w:t>次。</w:t>
      </w:r>
    </w:p>
    <w:p>
      <w:pPr>
        <w:spacing w:line="500" w:lineRule="exact"/>
        <w:ind w:firstLine="560"/>
        <w:rPr>
          <w:rFonts w:ascii="仿宋_GB2312" w:hAnsi="宋体" w:eastAsia="仿宋_GB2312" w:cs="宋体"/>
          <w:sz w:val="28"/>
          <w:szCs w:val="28"/>
        </w:rPr>
      </w:pPr>
      <w:r>
        <w:rPr>
          <w:rFonts w:hint="eastAsia" w:ascii="仿宋_GB2312" w:hAnsi="宋体" w:eastAsia="仿宋_GB2312" w:cs="宋体"/>
          <w:sz w:val="28"/>
          <w:szCs w:val="28"/>
        </w:rPr>
        <w:t>若学生参与合作宣讲，加分分值减半；交流座谈不加分。</w:t>
      </w:r>
    </w:p>
    <w:p>
      <w:pPr>
        <w:spacing w:line="500" w:lineRule="exact"/>
        <w:ind w:firstLine="560"/>
        <w:rPr>
          <w:rFonts w:ascii="仿宋_GB2312" w:hAnsi="宋体" w:eastAsia="仿宋_GB2312"/>
          <w:sz w:val="28"/>
          <w:szCs w:val="28"/>
        </w:rPr>
      </w:pPr>
      <w:r>
        <w:rPr>
          <w:rFonts w:hint="eastAsia" w:ascii="仿宋_GB2312" w:hAnsi="宋体" w:eastAsia="仿宋_GB2312"/>
          <w:b/>
          <w:sz w:val="32"/>
          <w:szCs w:val="28"/>
        </w:rPr>
        <w:t>第十二条</w:t>
      </w:r>
      <w:r>
        <w:rPr>
          <w:rFonts w:hint="eastAsia" w:ascii="仿宋_GB2312" w:hAnsi="宋体" w:eastAsia="仿宋_GB2312"/>
          <w:sz w:val="28"/>
          <w:szCs w:val="28"/>
        </w:rPr>
        <w:tab/>
      </w:r>
      <w:r>
        <w:rPr>
          <w:rFonts w:hint="eastAsia" w:ascii="仿宋_GB2312" w:hAnsi="宋体" w:eastAsia="仿宋_GB2312"/>
          <w:sz w:val="28"/>
          <w:szCs w:val="28"/>
        </w:rPr>
        <w:t>其他需要加分的情况，经本人申请，提交相应证明材料，在学院范围内公示无异议的，可以加分。</w:t>
      </w:r>
    </w:p>
    <w:p>
      <w:pPr>
        <w:spacing w:before="156" w:beforeLines="50" w:after="156" w:afterLines="50" w:line="500" w:lineRule="exact"/>
        <w:jc w:val="center"/>
        <w:rPr>
          <w:rFonts w:ascii="仿宋_GB2312" w:hAnsi="华文楷体" w:eastAsia="仿宋_GB2312"/>
          <w:b/>
          <w:sz w:val="32"/>
          <w:szCs w:val="36"/>
        </w:rPr>
      </w:pPr>
      <w:r>
        <w:rPr>
          <w:rFonts w:hint="eastAsia" w:ascii="仿宋_GB2312" w:hAnsi="华文楷体" w:eastAsia="仿宋_GB2312"/>
          <w:b/>
          <w:sz w:val="32"/>
          <w:szCs w:val="36"/>
        </w:rPr>
        <w:t>三、组织实施与结果应用</w:t>
      </w:r>
    </w:p>
    <w:p>
      <w:pPr>
        <w:spacing w:line="500" w:lineRule="exact"/>
        <w:ind w:firstLine="643" w:firstLineChars="200"/>
        <w:rPr>
          <w:rFonts w:ascii="仿宋_GB2312" w:hAnsi="宋体" w:eastAsia="仿宋_GB2312"/>
          <w:b/>
          <w:sz w:val="32"/>
          <w:szCs w:val="32"/>
        </w:rPr>
      </w:pPr>
      <w:r>
        <w:rPr>
          <w:rFonts w:hint="eastAsia" w:ascii="仿宋_GB2312" w:hAnsi="新宋体" w:eastAsia="仿宋_GB2312"/>
          <w:b/>
          <w:sz w:val="32"/>
          <w:szCs w:val="28"/>
        </w:rPr>
        <w:t>第十三条</w:t>
      </w:r>
      <w:r>
        <w:rPr>
          <w:rFonts w:hint="eastAsia" w:ascii="仿宋_GB2312" w:hAnsi="新宋体" w:eastAsia="仿宋_GB2312"/>
          <w:sz w:val="28"/>
          <w:szCs w:val="28"/>
        </w:rPr>
        <w:tab/>
      </w:r>
      <w:r>
        <w:rPr>
          <w:rFonts w:hint="eastAsia" w:ascii="仿宋_GB2312" w:hAnsi="新宋体" w:eastAsia="仿宋_GB2312"/>
          <w:sz w:val="28"/>
          <w:szCs w:val="28"/>
        </w:rPr>
        <w:t>综合素质成绩的认定</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各年级成立由辅导员任组长的年级综合素质成绩认定工作小组。各专业班级成立相应认定工作小组，由班委和学生代表共同组成。班级认定工作小组统一组织班级成员自评。学生自评应在规定时间内提交各类加分证明材料，注意各类加分证明材料的时间应评审学年度内。</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各班级认定工作小组按规定时间收集学生自评表和证明材料，予以核实。未在规定时间内提交的加分申请和证明材料不予承认。班级认定工作小组可根据本办法之规定对自评结果进行更正，并将更正情况通知本人。</w:t>
      </w:r>
    </w:p>
    <w:p>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3.各班级认定工作将证明材料和评分结果上报年级认定工作小组，审核无误后在学院内进行公示，公示期至少三天。公示期内对结果有异议者，可直接向年级认定工作小组或学院学生工作办公室反映。</w:t>
      </w:r>
    </w:p>
    <w:p>
      <w:pPr>
        <w:spacing w:line="500" w:lineRule="exact"/>
        <w:ind w:firstLine="643" w:firstLineChars="200"/>
        <w:rPr>
          <w:rFonts w:ascii="仿宋_GB2312" w:hAnsi="新宋体" w:eastAsia="仿宋_GB2312"/>
          <w:sz w:val="28"/>
          <w:szCs w:val="28"/>
        </w:rPr>
      </w:pPr>
      <w:r>
        <w:rPr>
          <w:rFonts w:hint="eastAsia" w:ascii="仿宋_GB2312" w:hAnsi="新宋体" w:eastAsia="仿宋_GB2312"/>
          <w:b/>
          <w:sz w:val="32"/>
          <w:szCs w:val="28"/>
        </w:rPr>
        <w:t>第十四条</w:t>
      </w:r>
      <w:r>
        <w:rPr>
          <w:rFonts w:hint="eastAsia" w:ascii="仿宋_GB2312" w:hAnsi="新宋体" w:eastAsia="仿宋_GB2312"/>
          <w:sz w:val="28"/>
          <w:szCs w:val="28"/>
        </w:rPr>
        <w:tab/>
      </w:r>
      <w:r>
        <w:rPr>
          <w:rFonts w:hint="eastAsia" w:ascii="仿宋_GB2312" w:hAnsi="新宋体" w:eastAsia="仿宋_GB2312"/>
          <w:sz w:val="28"/>
          <w:szCs w:val="28"/>
        </w:rPr>
        <w:t>担任校级、院级、班级工作考评工作办法</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1.所有申请加分的校级、院级、班级学生干部均需参加考核评定。</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 xml:space="preserve">2.参加考评的班级学生干部（包括班长、团支书），在班级大会上进行年度工作述职和公能素质测评。在个人述职的基础上，进行无记名的班级考评投票。参与投票的同学必须达到班级总人数的80%，凡得票数在参与考评人数60%之上的学生干部可认定为合格。   </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参加考评的校级学生干部（包括校级团委、学生会、团校等组织主席团级别职务、部长级职务、副部长级职务的干部）、院级学生干部（包括学院团委、学生会常委级别职务、部长级职务、副部长级职务的干部）在学院学生代表大会上进行年度工作述职。在个人述职的基础上，进行无记名的班级考评投票。参与投票的同学必须达到学院本科生总人数的50%，凡得票数在参与考评人数60%之上的学生干部可认定为合格。</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4.对校级学生干部的工作考评，需结合学校学生组织考评结果进行考评。</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5.考评合格的学生干部，依照得票数按本办法第八条之规定，分别进行加分。</w:t>
      </w:r>
    </w:p>
    <w:p>
      <w:pPr>
        <w:spacing w:before="156" w:beforeLines="50" w:after="156" w:afterLines="50" w:line="500" w:lineRule="exact"/>
        <w:jc w:val="center"/>
        <w:rPr>
          <w:rFonts w:ascii="仿宋_GB2312" w:hAnsi="华文楷体" w:eastAsia="仿宋_GB2312"/>
          <w:b/>
          <w:sz w:val="32"/>
          <w:szCs w:val="36"/>
        </w:rPr>
      </w:pPr>
      <w:r>
        <w:rPr>
          <w:rFonts w:hint="eastAsia" w:ascii="仿宋_GB2312" w:hAnsi="华文楷体" w:eastAsia="仿宋_GB2312"/>
          <w:b/>
          <w:sz w:val="32"/>
          <w:szCs w:val="36"/>
        </w:rPr>
        <w:t>四、附则</w:t>
      </w:r>
    </w:p>
    <w:p>
      <w:pPr>
        <w:spacing w:line="500" w:lineRule="exact"/>
        <w:ind w:firstLine="643" w:firstLineChars="200"/>
        <w:rPr>
          <w:rFonts w:ascii="仿宋_GB2312" w:hAnsi="宋体" w:eastAsia="仿宋_GB2312"/>
          <w:b/>
          <w:sz w:val="28"/>
          <w:szCs w:val="28"/>
        </w:rPr>
      </w:pPr>
      <w:r>
        <w:rPr>
          <w:rFonts w:hint="eastAsia" w:ascii="仿宋_GB2312" w:hAnsi="宋体" w:eastAsia="仿宋_GB2312"/>
          <w:b/>
          <w:sz w:val="32"/>
          <w:szCs w:val="28"/>
        </w:rPr>
        <w:t>第十五条</w:t>
      </w:r>
      <w:r>
        <w:rPr>
          <w:rFonts w:hint="eastAsia" w:ascii="仿宋_GB2312" w:hAnsi="宋体" w:eastAsia="仿宋_GB2312"/>
          <w:b/>
          <w:sz w:val="28"/>
          <w:szCs w:val="28"/>
        </w:rPr>
        <w:tab/>
      </w:r>
      <w:r>
        <w:rPr>
          <w:rFonts w:hint="eastAsia" w:ascii="仿宋_GB2312" w:hAnsi="宋体" w:eastAsia="仿宋_GB2312"/>
          <w:sz w:val="28"/>
          <w:szCs w:val="28"/>
        </w:rPr>
        <w:t>本方法条款的解释权属马克思主义学院学生工作办公室。</w:t>
      </w:r>
    </w:p>
    <w:p>
      <w:pPr>
        <w:spacing w:line="500" w:lineRule="exact"/>
        <w:ind w:firstLine="643" w:firstLineChars="200"/>
        <w:rPr>
          <w:rFonts w:ascii="仿宋_GB2312" w:hAnsi="宋体" w:eastAsia="仿宋_GB2312"/>
          <w:sz w:val="28"/>
          <w:szCs w:val="28"/>
        </w:rPr>
      </w:pPr>
      <w:r>
        <w:rPr>
          <w:rFonts w:hint="eastAsia" w:ascii="仿宋_GB2312" w:hAnsi="宋体" w:eastAsia="仿宋_GB2312"/>
          <w:b/>
          <w:sz w:val="32"/>
          <w:szCs w:val="28"/>
        </w:rPr>
        <w:t>第十六条</w:t>
      </w:r>
      <w:r>
        <w:rPr>
          <w:rFonts w:hint="eastAsia" w:ascii="仿宋_GB2312" w:hAnsi="宋体" w:eastAsia="仿宋_GB2312"/>
          <w:sz w:val="28"/>
          <w:szCs w:val="28"/>
        </w:rPr>
        <w:tab/>
      </w:r>
      <w:r>
        <w:rPr>
          <w:rFonts w:hint="eastAsia" w:ascii="仿宋_GB2312" w:hAnsi="宋体" w:eastAsia="仿宋_GB2312"/>
          <w:sz w:val="28"/>
          <w:szCs w:val="28"/>
        </w:rPr>
        <w:t>本方法自二〇一八年七月一日起实施。</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widowControl/>
        <w:jc w:val="left"/>
        <w:rPr>
          <w:rFonts w:ascii="宋体" w:hAnsi="宋体" w:eastAsia="宋体"/>
          <w:szCs w:val="21"/>
        </w:rPr>
      </w:pPr>
    </w:p>
    <w:p>
      <w:pPr>
        <w:widowControl/>
        <w:jc w:val="left"/>
      </w:pPr>
      <w:r>
        <w:br w:type="page"/>
      </w:r>
    </w:p>
    <w:p>
      <w:pPr>
        <w:jc w:val="center"/>
        <w:outlineLvl w:val="0"/>
        <w:rPr>
          <w:rFonts w:ascii="黑体" w:hAnsi="黑体" w:eastAsia="黑体"/>
          <w:sz w:val="30"/>
          <w:szCs w:val="30"/>
        </w:rPr>
      </w:pPr>
      <w:r>
        <w:rPr>
          <w:rFonts w:hint="eastAsia" w:ascii="黑体" w:hAnsi="黑体" w:eastAsia="黑体"/>
          <w:sz w:val="30"/>
          <w:szCs w:val="30"/>
        </w:rPr>
        <w:t>马克思主义学院硕士研究生奖学金评审计分细则3.</w:t>
      </w:r>
      <w:r>
        <w:rPr>
          <w:rFonts w:hint="eastAsia" w:ascii="黑体" w:hAnsi="黑体" w:eastAsia="黑体"/>
          <w:sz w:val="30"/>
          <w:szCs w:val="30"/>
          <w:lang w:val="en-US" w:eastAsia="zh-CN"/>
        </w:rPr>
        <w:t>1</w:t>
      </w:r>
      <w:r>
        <w:rPr>
          <w:rFonts w:hint="eastAsia" w:ascii="黑体" w:hAnsi="黑体" w:eastAsia="黑体"/>
          <w:sz w:val="30"/>
          <w:szCs w:val="30"/>
        </w:rPr>
        <w:t>版本</w:t>
      </w:r>
    </w:p>
    <w:tbl>
      <w:tblPr>
        <w:tblStyle w:val="5"/>
        <w:tblW w:w="918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66"/>
        <w:gridCol w:w="571"/>
        <w:gridCol w:w="565"/>
        <w:gridCol w:w="130"/>
        <w:gridCol w:w="519"/>
        <w:gridCol w:w="768"/>
        <w:gridCol w:w="285"/>
        <w:gridCol w:w="1136"/>
        <w:gridCol w:w="28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4" w:type="dxa"/>
            <w:vAlign w:val="center"/>
          </w:tcPr>
          <w:p>
            <w:pPr>
              <w:ind w:left="-34"/>
              <w:jc w:val="center"/>
              <w:rPr>
                <w:b/>
                <w:sz w:val="24"/>
                <w:szCs w:val="24"/>
              </w:rPr>
            </w:pPr>
            <w:r>
              <w:rPr>
                <w:rFonts w:hint="eastAsia"/>
                <w:b/>
                <w:sz w:val="24"/>
                <w:szCs w:val="24"/>
              </w:rPr>
              <w:t>分类</w:t>
            </w:r>
          </w:p>
        </w:tc>
        <w:tc>
          <w:tcPr>
            <w:tcW w:w="3404" w:type="dxa"/>
            <w:gridSpan w:val="7"/>
            <w:vAlign w:val="center"/>
          </w:tcPr>
          <w:p>
            <w:pPr>
              <w:ind w:left="-34"/>
              <w:jc w:val="center"/>
              <w:rPr>
                <w:b/>
                <w:sz w:val="24"/>
                <w:szCs w:val="24"/>
              </w:rPr>
            </w:pPr>
            <w:r>
              <w:rPr>
                <w:rFonts w:hint="eastAsia"/>
                <w:b/>
                <w:sz w:val="24"/>
                <w:szCs w:val="24"/>
              </w:rPr>
              <w:t>具体项目细则</w:t>
            </w:r>
          </w:p>
        </w:tc>
        <w:tc>
          <w:tcPr>
            <w:tcW w:w="1136" w:type="dxa"/>
            <w:vAlign w:val="center"/>
          </w:tcPr>
          <w:p>
            <w:pPr>
              <w:ind w:left="-34"/>
              <w:jc w:val="center"/>
              <w:rPr>
                <w:b/>
                <w:sz w:val="24"/>
                <w:szCs w:val="24"/>
              </w:rPr>
            </w:pPr>
            <w:r>
              <w:rPr>
                <w:rFonts w:hint="eastAsia"/>
                <w:b/>
                <w:sz w:val="24"/>
                <w:szCs w:val="24"/>
              </w:rPr>
              <w:t>分值</w:t>
            </w:r>
          </w:p>
        </w:tc>
        <w:tc>
          <w:tcPr>
            <w:tcW w:w="3826" w:type="dxa"/>
            <w:gridSpan w:val="2"/>
            <w:vAlign w:val="center"/>
          </w:tcPr>
          <w:p>
            <w:pPr>
              <w:ind w:left="-34"/>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814" w:type="dxa"/>
            <w:vAlign w:val="center"/>
          </w:tcPr>
          <w:p>
            <w:pPr>
              <w:ind w:left="-34"/>
              <w:jc w:val="center"/>
              <w:rPr>
                <w:b/>
              </w:rPr>
            </w:pPr>
            <w:r>
              <w:rPr>
                <w:rFonts w:hint="eastAsia"/>
                <w:b/>
              </w:rPr>
              <w:t>学习成绩</w:t>
            </w:r>
          </w:p>
        </w:tc>
        <w:tc>
          <w:tcPr>
            <w:tcW w:w="3404" w:type="dxa"/>
            <w:gridSpan w:val="7"/>
            <w:vAlign w:val="center"/>
          </w:tcPr>
          <w:p>
            <w:pPr>
              <w:jc w:val="center"/>
            </w:pPr>
            <w:r>
              <w:rPr>
                <w:rFonts w:hint="eastAsia"/>
              </w:rPr>
              <w:t>通过所有课程</w:t>
            </w:r>
          </w:p>
        </w:tc>
        <w:tc>
          <w:tcPr>
            <w:tcW w:w="1136" w:type="dxa"/>
            <w:vAlign w:val="center"/>
          </w:tcPr>
          <w:p>
            <w:pPr>
              <w:ind w:left="-34"/>
              <w:jc w:val="center"/>
              <w:rPr>
                <w:rFonts w:ascii="黑体" w:hAnsi="黑体" w:eastAsia="黑体"/>
              </w:rPr>
            </w:pPr>
            <w:r>
              <w:rPr>
                <w:rFonts w:hint="eastAsia" w:ascii="黑体" w:hAnsi="黑体" w:eastAsia="黑体"/>
                <w:color w:val="FF0000"/>
              </w:rPr>
              <w:t>不计分</w:t>
            </w:r>
          </w:p>
        </w:tc>
        <w:tc>
          <w:tcPr>
            <w:tcW w:w="3826" w:type="dxa"/>
            <w:gridSpan w:val="2"/>
            <w:vAlign w:val="center"/>
          </w:tcPr>
          <w:p>
            <w:pPr>
              <w:adjustRightInd w:val="0"/>
              <w:snapToGrid w:val="0"/>
              <w:rPr>
                <w:sz w:val="20"/>
              </w:rPr>
            </w:pPr>
            <w:r>
              <w:rPr>
                <w:rFonts w:hint="eastAsia"/>
                <w:sz w:val="20"/>
              </w:rPr>
              <w:t>如有不及格科目，则失去该年度评选奖学金资格。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14" w:type="dxa"/>
            <w:vMerge w:val="restart"/>
            <w:vAlign w:val="center"/>
          </w:tcPr>
          <w:p>
            <w:pPr>
              <w:ind w:left="-34"/>
              <w:jc w:val="center"/>
              <w:rPr>
                <w:b/>
              </w:rPr>
            </w:pPr>
            <w:r>
              <w:rPr>
                <w:rFonts w:hint="eastAsia"/>
                <w:b/>
              </w:rPr>
              <w:t>科研</w:t>
            </w:r>
          </w:p>
          <w:p>
            <w:pPr>
              <w:ind w:left="-34"/>
              <w:jc w:val="center"/>
              <w:rPr>
                <w:b/>
              </w:rPr>
            </w:pPr>
            <w:r>
              <w:rPr>
                <w:rFonts w:hint="eastAsia"/>
                <w:b/>
              </w:rPr>
              <w:t>能力</w:t>
            </w:r>
          </w:p>
        </w:tc>
        <w:tc>
          <w:tcPr>
            <w:tcW w:w="1137" w:type="dxa"/>
            <w:gridSpan w:val="2"/>
            <w:vMerge w:val="restart"/>
            <w:vAlign w:val="center"/>
          </w:tcPr>
          <w:p>
            <w:pPr>
              <w:jc w:val="center"/>
            </w:pPr>
            <w:r>
              <w:rPr>
                <w:rFonts w:hint="eastAsia"/>
              </w:rPr>
              <w:t>著作</w:t>
            </w:r>
          </w:p>
        </w:tc>
        <w:tc>
          <w:tcPr>
            <w:tcW w:w="2267" w:type="dxa"/>
            <w:gridSpan w:val="5"/>
            <w:vAlign w:val="center"/>
          </w:tcPr>
          <w:p>
            <w:pPr>
              <w:ind w:left="-34"/>
              <w:jc w:val="center"/>
            </w:pPr>
            <w:r>
              <w:rPr>
                <w:rFonts w:hint="eastAsia"/>
              </w:rPr>
              <w:t>独立完成或</w:t>
            </w:r>
            <w:r>
              <w:t>第一作者</w:t>
            </w:r>
          </w:p>
        </w:tc>
        <w:tc>
          <w:tcPr>
            <w:tcW w:w="1136" w:type="dxa"/>
            <w:vAlign w:val="center"/>
          </w:tcPr>
          <w:p>
            <w:pPr>
              <w:ind w:left="-34"/>
              <w:jc w:val="center"/>
              <w:rPr>
                <w:rFonts w:ascii="黑体" w:hAnsi="黑体" w:eastAsia="黑体"/>
                <w:b/>
                <w:color w:val="FF0000"/>
                <w:sz w:val="18"/>
              </w:rPr>
            </w:pPr>
            <w:r>
              <w:rPr>
                <w:rFonts w:ascii="黑体" w:hAnsi="黑体" w:eastAsia="黑体"/>
                <w:b/>
                <w:color w:val="FF0000"/>
                <w:sz w:val="18"/>
              </w:rPr>
              <w:t>4</w:t>
            </w:r>
            <w:r>
              <w:rPr>
                <w:rFonts w:hint="eastAsia" w:ascii="黑体" w:hAnsi="黑体" w:eastAsia="黑体"/>
                <w:b/>
                <w:color w:val="FF0000"/>
                <w:sz w:val="18"/>
              </w:rPr>
              <w:t>分/万字</w:t>
            </w:r>
          </w:p>
        </w:tc>
        <w:tc>
          <w:tcPr>
            <w:tcW w:w="3826" w:type="dxa"/>
            <w:gridSpan w:val="2"/>
            <w:vMerge w:val="restart"/>
            <w:vAlign w:val="center"/>
          </w:tcPr>
          <w:p>
            <w:pPr>
              <w:ind w:left="-34" w:firstLine="420" w:firstLineChars="200"/>
            </w:pPr>
            <w:r>
              <w:rPr>
                <w:rFonts w:hint="eastAsia"/>
              </w:rPr>
              <w:t>按照所承担部分字数进行测算，需要相关证明。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814" w:type="dxa"/>
            <w:vMerge w:val="continue"/>
            <w:vAlign w:val="center"/>
          </w:tcPr>
          <w:p>
            <w:pPr>
              <w:ind w:left="-34"/>
              <w:jc w:val="center"/>
              <w:rPr>
                <w:b/>
              </w:rPr>
            </w:pPr>
          </w:p>
        </w:tc>
        <w:tc>
          <w:tcPr>
            <w:tcW w:w="1137" w:type="dxa"/>
            <w:gridSpan w:val="2"/>
            <w:vMerge w:val="continue"/>
            <w:vAlign w:val="center"/>
          </w:tcPr>
          <w:p>
            <w:pPr>
              <w:jc w:val="center"/>
            </w:pPr>
          </w:p>
        </w:tc>
        <w:tc>
          <w:tcPr>
            <w:tcW w:w="2267" w:type="dxa"/>
            <w:gridSpan w:val="5"/>
            <w:vAlign w:val="center"/>
          </w:tcPr>
          <w:p>
            <w:pPr>
              <w:ind w:left="-34"/>
              <w:jc w:val="center"/>
              <w:rPr>
                <w:rFonts w:ascii="黑体" w:hAnsi="黑体" w:eastAsia="黑体"/>
              </w:rPr>
            </w:pPr>
            <w:r>
              <w:rPr>
                <w:rFonts w:hint="eastAsia" w:ascii="黑体" w:hAnsi="黑体" w:eastAsia="黑体"/>
                <w:color w:val="FF0000"/>
              </w:rPr>
              <w:t>独编或译著</w:t>
            </w:r>
          </w:p>
        </w:tc>
        <w:tc>
          <w:tcPr>
            <w:tcW w:w="1136" w:type="dxa"/>
            <w:vAlign w:val="center"/>
          </w:tcPr>
          <w:p>
            <w:pPr>
              <w:ind w:left="-34"/>
              <w:jc w:val="center"/>
              <w:rPr>
                <w:rFonts w:ascii="黑体" w:hAnsi="黑体" w:eastAsia="黑体"/>
                <w:b/>
                <w:color w:val="FF0000"/>
                <w:sz w:val="18"/>
              </w:rPr>
            </w:pPr>
            <w:r>
              <w:rPr>
                <w:rFonts w:ascii="黑体" w:hAnsi="黑体" w:eastAsia="黑体"/>
                <w:b/>
                <w:color w:val="FF0000"/>
                <w:sz w:val="18"/>
              </w:rPr>
              <w:t>3</w:t>
            </w:r>
            <w:r>
              <w:rPr>
                <w:rFonts w:hint="eastAsia" w:ascii="黑体" w:hAnsi="黑体" w:eastAsia="黑体"/>
                <w:b/>
                <w:color w:val="FF0000"/>
                <w:sz w:val="18"/>
              </w:rPr>
              <w:t>分/万字</w:t>
            </w:r>
          </w:p>
        </w:tc>
        <w:tc>
          <w:tcPr>
            <w:tcW w:w="3826" w:type="dxa"/>
            <w:gridSpan w:val="2"/>
            <w:vMerge w:val="continue"/>
            <w:vAlign w:val="center"/>
          </w:tcPr>
          <w:p>
            <w:pPr>
              <w:ind w:left="-3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ind w:left="-34"/>
              <w:jc w:val="center"/>
            </w:pPr>
            <w:r>
              <w:t>参编</w:t>
            </w:r>
            <w:r>
              <w:rPr>
                <w:rFonts w:hint="eastAsia"/>
              </w:rPr>
              <w:t>、其他排序作者</w:t>
            </w:r>
          </w:p>
        </w:tc>
        <w:tc>
          <w:tcPr>
            <w:tcW w:w="1136" w:type="dxa"/>
            <w:vAlign w:val="center"/>
          </w:tcPr>
          <w:p>
            <w:pPr>
              <w:ind w:left="-34"/>
              <w:jc w:val="center"/>
              <w:rPr>
                <w:rFonts w:ascii="黑体" w:hAnsi="黑体" w:eastAsia="黑体"/>
                <w:b/>
                <w:color w:val="FF0000"/>
                <w:sz w:val="18"/>
              </w:rPr>
            </w:pPr>
            <w:r>
              <w:rPr>
                <w:rFonts w:hint="eastAsia" w:ascii="黑体" w:hAnsi="黑体" w:eastAsia="黑体"/>
                <w:b/>
                <w:color w:val="FF0000"/>
                <w:sz w:val="18"/>
              </w:rPr>
              <w:t>1</w:t>
            </w:r>
            <w:r>
              <w:rPr>
                <w:rFonts w:ascii="黑体" w:hAnsi="黑体" w:eastAsia="黑体"/>
                <w:b/>
                <w:color w:val="FF0000"/>
                <w:sz w:val="18"/>
              </w:rPr>
              <w:t>.5</w:t>
            </w:r>
            <w:r>
              <w:rPr>
                <w:rFonts w:hint="eastAsia" w:ascii="黑体" w:hAnsi="黑体" w:eastAsia="黑体"/>
                <w:b/>
                <w:color w:val="FF0000"/>
                <w:sz w:val="18"/>
              </w:rPr>
              <w:t>分/万字</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14" w:type="dxa"/>
            <w:vMerge w:val="continue"/>
          </w:tcPr>
          <w:p>
            <w:pPr>
              <w:ind w:left="-34"/>
              <w:jc w:val="center"/>
            </w:pPr>
          </w:p>
        </w:tc>
        <w:tc>
          <w:tcPr>
            <w:tcW w:w="566" w:type="dxa"/>
            <w:vMerge w:val="restart"/>
            <w:vAlign w:val="center"/>
          </w:tcPr>
          <w:p>
            <w:pPr>
              <w:ind w:left="-34"/>
              <w:jc w:val="center"/>
            </w:pPr>
            <w:r>
              <w:rPr>
                <w:rFonts w:hint="eastAsia"/>
              </w:rPr>
              <w:t>学术文章</w:t>
            </w:r>
          </w:p>
        </w:tc>
        <w:tc>
          <w:tcPr>
            <w:tcW w:w="1266" w:type="dxa"/>
            <w:gridSpan w:val="3"/>
            <w:vMerge w:val="restart"/>
            <w:vAlign w:val="center"/>
          </w:tcPr>
          <w:p>
            <w:pPr>
              <w:spacing w:line="240" w:lineRule="exact"/>
              <w:rPr>
                <w:b/>
              </w:rPr>
            </w:pPr>
            <w:r>
              <w:rPr>
                <w:rFonts w:hint="eastAsia"/>
                <w:sz w:val="16"/>
              </w:rPr>
              <w:t>《中国</w:t>
            </w:r>
            <w:r>
              <w:rPr>
                <w:sz w:val="16"/>
              </w:rPr>
              <w:t>社会科学</w:t>
            </w:r>
            <w:r>
              <w:rPr>
                <w:rFonts w:hint="eastAsia"/>
                <w:sz w:val="16"/>
              </w:rPr>
              <w:t>》；《求是》杂志</w:t>
            </w:r>
            <w:r>
              <w:rPr>
                <w:sz w:val="16"/>
              </w:rPr>
              <w:t>；</w:t>
            </w:r>
            <w:r>
              <w:rPr>
                <w:rFonts w:hint="eastAsia"/>
                <w:sz w:val="16"/>
              </w:rPr>
              <w:t>一级学科顶尖期刊；新华文摘、中国社会科学文摘、高等学校文科学术文摘转载</w:t>
            </w:r>
          </w:p>
        </w:tc>
        <w:tc>
          <w:tcPr>
            <w:tcW w:w="1572" w:type="dxa"/>
            <w:gridSpan w:val="3"/>
            <w:vAlign w:val="center"/>
          </w:tcPr>
          <w:p>
            <w:pPr>
              <w:jc w:val="center"/>
            </w:pPr>
            <w:r>
              <w:rPr>
                <w:rFonts w:hint="eastAsia"/>
              </w:rPr>
              <w:t>独立</w:t>
            </w:r>
          </w:p>
        </w:tc>
        <w:tc>
          <w:tcPr>
            <w:tcW w:w="1136" w:type="dxa"/>
            <w:vAlign w:val="center"/>
          </w:tcPr>
          <w:p>
            <w:pPr>
              <w:ind w:left="-34"/>
              <w:jc w:val="center"/>
              <w:rPr>
                <w:rFonts w:ascii="黑体" w:hAnsi="黑体" w:eastAsia="黑体"/>
                <w:b/>
                <w:color w:val="FF0000"/>
              </w:rPr>
            </w:pPr>
            <w:r>
              <w:rPr>
                <w:rFonts w:ascii="黑体" w:hAnsi="黑体" w:eastAsia="黑体"/>
                <w:b/>
                <w:color w:val="FF0000"/>
              </w:rPr>
              <w:t>100</w:t>
            </w:r>
            <w:r>
              <w:rPr>
                <w:rFonts w:hint="eastAsia" w:ascii="黑体" w:hAnsi="黑体" w:eastAsia="黑体"/>
                <w:b/>
                <w:color w:val="FF0000"/>
              </w:rPr>
              <w:t>分/篇</w:t>
            </w:r>
          </w:p>
        </w:tc>
        <w:tc>
          <w:tcPr>
            <w:tcW w:w="3826" w:type="dxa"/>
            <w:gridSpan w:val="2"/>
            <w:vMerge w:val="restart"/>
            <w:vAlign w:val="center"/>
          </w:tcPr>
          <w:p>
            <w:pPr>
              <w:adjustRightInd w:val="0"/>
              <w:snapToGrid w:val="0"/>
              <w:rPr>
                <w:rFonts w:ascii="宋体" w:hAnsi="宋体" w:eastAsia="宋体"/>
                <w:b/>
                <w:sz w:val="20"/>
              </w:rPr>
            </w:pPr>
            <w:r>
              <w:rPr>
                <w:rFonts w:hint="eastAsia" w:ascii="宋体" w:hAnsi="宋体" w:eastAsia="宋体"/>
                <w:sz w:val="20"/>
              </w:rPr>
              <w:t>1.顶级期刊参照</w:t>
            </w:r>
            <w:r>
              <w:rPr>
                <w:rFonts w:hint="eastAsia" w:ascii="宋体" w:hAnsi="宋体" w:eastAsia="宋体"/>
                <w:b/>
                <w:sz w:val="20"/>
              </w:rPr>
              <w:t>附件四</w:t>
            </w:r>
            <w:r>
              <w:rPr>
                <w:rFonts w:hint="eastAsia" w:ascii="宋体" w:hAnsi="宋体" w:eastAsia="宋体"/>
                <w:sz w:val="20"/>
              </w:rPr>
              <w:t>：</w:t>
            </w:r>
            <w:r>
              <w:rPr>
                <w:rFonts w:hint="eastAsia" w:ascii="宋体" w:hAnsi="宋体" w:eastAsia="宋体"/>
                <w:b/>
                <w:sz w:val="20"/>
              </w:rPr>
              <w:t>马克思主义学院顶尖学术期刊目录</w:t>
            </w:r>
          </w:p>
          <w:p>
            <w:pPr>
              <w:adjustRightInd w:val="0"/>
              <w:snapToGrid w:val="0"/>
              <w:rPr>
                <w:rFonts w:ascii="宋体" w:hAnsi="宋体" w:eastAsia="宋体"/>
                <w:b/>
                <w:sz w:val="20"/>
              </w:rPr>
            </w:pPr>
            <w:r>
              <w:rPr>
                <w:rFonts w:hint="eastAsia" w:ascii="宋体" w:hAnsi="宋体" w:eastAsia="宋体"/>
                <w:sz w:val="20"/>
              </w:rPr>
              <w:t>2. CSSCI来源期刊、中文核心期刊目录参照</w:t>
            </w:r>
            <w:r>
              <w:rPr>
                <w:rFonts w:hint="eastAsia" w:ascii="宋体" w:hAnsi="宋体" w:eastAsia="宋体"/>
                <w:b/>
                <w:sz w:val="20"/>
              </w:rPr>
              <w:t>附件五：中文核心期刊目录</w:t>
            </w:r>
          </w:p>
          <w:p>
            <w:pPr>
              <w:adjustRightInd w:val="0"/>
              <w:snapToGrid w:val="0"/>
              <w:rPr>
                <w:rFonts w:ascii="宋体" w:hAnsi="宋体" w:eastAsia="宋体"/>
                <w:sz w:val="20"/>
              </w:rPr>
            </w:pPr>
            <w:r>
              <w:rPr>
                <w:rFonts w:hint="eastAsia" w:ascii="宋体" w:hAnsi="宋体" w:eastAsia="宋体"/>
                <w:sz w:val="20"/>
              </w:rPr>
              <w:t>3.同一篇文章只取最高级别加分一次，不累加。</w:t>
            </w:r>
          </w:p>
          <w:p>
            <w:pPr>
              <w:adjustRightInd w:val="0"/>
              <w:snapToGrid w:val="0"/>
              <w:rPr>
                <w:rFonts w:ascii="宋体" w:hAnsi="宋体" w:eastAsia="宋体"/>
                <w:sz w:val="20"/>
              </w:rPr>
            </w:pPr>
            <w:r>
              <w:rPr>
                <w:rFonts w:ascii="宋体" w:hAnsi="宋体" w:eastAsia="宋体"/>
                <w:sz w:val="20"/>
              </w:rPr>
              <w:t>4</w:t>
            </w:r>
            <w:r>
              <w:rPr>
                <w:rFonts w:hint="eastAsia" w:ascii="宋体" w:hAnsi="宋体" w:eastAsia="宋体"/>
                <w:sz w:val="20"/>
              </w:rPr>
              <w:t>.在网站上发表文章、各种评论类文章不在统计范围。</w:t>
            </w:r>
          </w:p>
          <w:p>
            <w:pPr>
              <w:adjustRightInd w:val="0"/>
              <w:snapToGrid w:val="0"/>
              <w:rPr>
                <w:rFonts w:ascii="宋体" w:hAnsi="宋体" w:eastAsia="宋体"/>
                <w:sz w:val="20"/>
              </w:rPr>
            </w:pPr>
            <w:r>
              <w:rPr>
                <w:rFonts w:hint="eastAsia" w:ascii="宋体" w:hAnsi="宋体" w:eastAsia="宋体"/>
                <w:sz w:val="20"/>
              </w:rPr>
              <w:t>5.</w:t>
            </w:r>
            <w:r>
              <w:rPr>
                <w:rFonts w:hint="eastAsia" w:ascii="黑体" w:hAnsi="黑体" w:eastAsia="黑体"/>
                <w:color w:val="FF0000"/>
                <w:sz w:val="20"/>
              </w:rPr>
              <w:t>若与本人导师合作发表文章，学生排名第二可作为第一作者，第三可作为第二作者。若和本院其他老师合作，则比照学生合作确定作者次序。</w:t>
            </w:r>
          </w:p>
          <w:p>
            <w:pPr>
              <w:adjustRightInd w:val="0"/>
              <w:snapToGrid w:val="0"/>
              <w:rPr>
                <w:rFonts w:ascii="宋体" w:hAnsi="宋体" w:eastAsia="宋体"/>
                <w:sz w:val="20"/>
              </w:rPr>
            </w:pPr>
            <w:r>
              <w:rPr>
                <w:rFonts w:ascii="宋体" w:hAnsi="宋体" w:eastAsia="宋体"/>
                <w:sz w:val="20"/>
              </w:rPr>
              <w:t>6.</w:t>
            </w:r>
            <w:r>
              <w:rPr>
                <w:rFonts w:hint="eastAsia" w:ascii="宋体" w:hAnsi="宋体" w:eastAsia="宋体"/>
                <w:sz w:val="20"/>
              </w:rPr>
              <w:t>所发表文章必须署名南开大学马克思主义学院。成果的有效时间一般为上一年度</w:t>
            </w:r>
            <w:r>
              <w:rPr>
                <w:rFonts w:ascii="宋体" w:hAnsi="宋体" w:eastAsia="宋体"/>
                <w:sz w:val="20"/>
              </w:rPr>
              <w:t>10</w:t>
            </w:r>
            <w:r>
              <w:rPr>
                <w:rFonts w:hint="eastAsia" w:ascii="宋体" w:hAnsi="宋体" w:eastAsia="宋体"/>
                <w:sz w:val="20"/>
              </w:rPr>
              <w:t>月1日至本年度9月30日，具体截止时间根据每年最终发布申报通知的时间相应微调。</w:t>
            </w:r>
          </w:p>
          <w:p>
            <w:pPr>
              <w:adjustRightInd w:val="0"/>
              <w:snapToGrid w:val="0"/>
              <w:rPr>
                <w:rFonts w:ascii="宋体" w:hAnsi="宋体" w:eastAsia="宋体"/>
                <w:sz w:val="20"/>
              </w:rPr>
            </w:pPr>
            <w:r>
              <w:rPr>
                <w:rFonts w:ascii="宋体" w:hAnsi="宋体" w:eastAsia="宋体"/>
                <w:sz w:val="20"/>
              </w:rPr>
              <w:t>7.</w:t>
            </w:r>
            <w:r>
              <w:rPr>
                <w:rFonts w:hint="eastAsia" w:ascii="宋体" w:hAnsi="宋体" w:eastAsia="宋体"/>
                <w:sz w:val="20"/>
              </w:rPr>
              <w:t>上一年度因未出刊等原因未能用作评奖计分的，下一年度可以使用。</w:t>
            </w:r>
          </w:p>
          <w:p>
            <w:pPr>
              <w:adjustRightInd w:val="0"/>
              <w:snapToGrid w:val="0"/>
              <w:rPr>
                <w:rFonts w:hint="eastAsia" w:ascii="宋体" w:hAnsi="宋体" w:eastAsia="宋体"/>
                <w:sz w:val="20"/>
              </w:rPr>
            </w:pPr>
            <w:r>
              <w:rPr>
                <w:rFonts w:ascii="宋体" w:hAnsi="宋体" w:eastAsia="宋体"/>
                <w:sz w:val="20"/>
              </w:rPr>
              <w:t>8.</w:t>
            </w:r>
            <w:r>
              <w:rPr>
                <w:rFonts w:hint="eastAsia" w:ascii="黑体" w:hAnsi="黑体" w:eastAsia="黑体"/>
                <w:color w:val="FF0000"/>
                <w:sz w:val="20"/>
              </w:rPr>
              <w:t>若本年度已计分</w:t>
            </w:r>
            <w:r>
              <w:rPr>
                <w:rFonts w:ascii="黑体" w:hAnsi="黑体" w:eastAsia="黑体"/>
                <w:color w:val="FF0000"/>
                <w:sz w:val="20"/>
              </w:rPr>
              <w:t>文章在下一年度被更高级别转载</w:t>
            </w:r>
            <w:r>
              <w:rPr>
                <w:rFonts w:hint="eastAsia" w:ascii="黑体" w:hAnsi="黑体" w:eastAsia="黑体"/>
                <w:color w:val="FF0000"/>
                <w:sz w:val="20"/>
              </w:rPr>
              <w:t>，</w:t>
            </w:r>
            <w:r>
              <w:rPr>
                <w:rFonts w:ascii="黑体" w:hAnsi="黑体" w:eastAsia="黑体"/>
                <w:color w:val="FF0000"/>
                <w:sz w:val="20"/>
              </w:rPr>
              <w:t>学院</w:t>
            </w:r>
            <w:r>
              <w:rPr>
                <w:rFonts w:hint="eastAsia" w:ascii="黑体" w:hAnsi="黑体" w:eastAsia="黑体"/>
                <w:color w:val="FF0000"/>
                <w:sz w:val="20"/>
              </w:rPr>
              <w:t>将</w:t>
            </w:r>
            <w:r>
              <w:rPr>
                <w:rFonts w:ascii="黑体" w:hAnsi="黑体" w:eastAsia="黑体"/>
                <w:color w:val="FF0000"/>
                <w:sz w:val="20"/>
              </w:rPr>
              <w:t>给予单独奖励，</w:t>
            </w:r>
            <w:r>
              <w:rPr>
                <w:rFonts w:hint="eastAsia" w:ascii="黑体" w:hAnsi="黑体" w:eastAsia="黑体"/>
                <w:color w:val="FF0000"/>
                <w:sz w:val="20"/>
              </w:rPr>
              <w:t>在下一年度</w:t>
            </w:r>
            <w:r>
              <w:rPr>
                <w:rFonts w:ascii="黑体" w:hAnsi="黑体" w:eastAsia="黑体"/>
                <w:color w:val="FF0000"/>
                <w:sz w:val="20"/>
              </w:rPr>
              <w:t>奖学金评审中不</w:t>
            </w:r>
            <w:r>
              <w:rPr>
                <w:rFonts w:hint="eastAsia" w:ascii="黑体" w:hAnsi="黑体" w:eastAsia="黑体"/>
                <w:color w:val="FF0000"/>
                <w:sz w:val="20"/>
              </w:rPr>
              <w:t>重复计算</w:t>
            </w:r>
            <w:r>
              <w:rPr>
                <w:rFonts w:ascii="黑体" w:hAnsi="黑体" w:eastAsia="黑体"/>
                <w:color w:val="FF0000"/>
                <w:sz w:val="20"/>
              </w:rPr>
              <w:t>。</w:t>
            </w:r>
          </w:p>
          <w:p>
            <w:pPr>
              <w:adjustRightInd w:val="0"/>
              <w:snapToGrid w:val="0"/>
              <w:rPr>
                <w:rFonts w:ascii="黑体" w:hAnsi="黑体" w:eastAsia="黑体"/>
                <w:color w:val="FF0000"/>
                <w:sz w:val="20"/>
              </w:rPr>
            </w:pPr>
            <w:r>
              <w:rPr>
                <w:rFonts w:hint="eastAsia" w:ascii="宋体" w:hAnsi="宋体" w:eastAsia="宋体"/>
                <w:sz w:val="20"/>
              </w:rPr>
              <w:t>9.</w:t>
            </w:r>
            <w:r>
              <w:rPr>
                <w:rFonts w:hint="eastAsia" w:ascii="黑体" w:hAnsi="黑体" w:eastAsia="黑体"/>
                <w:color w:val="FF0000"/>
                <w:sz w:val="20"/>
              </w:rPr>
              <w:t>何种情况下，排名第二作者以后的都不计分。合作作者计分分值为独立作者分值的百分比：一作70%，二作25%，四舍五入。</w:t>
            </w:r>
          </w:p>
          <w:p>
            <w:pPr>
              <w:adjustRightInd w:val="0"/>
              <w:snapToGrid w:val="0"/>
              <w:rPr>
                <w:rFonts w:ascii="宋体" w:hAnsi="宋体" w:eastAsia="宋体"/>
                <w:sz w:val="20"/>
              </w:rPr>
            </w:pPr>
            <w:r>
              <w:rPr>
                <w:rFonts w:hint="eastAsia" w:ascii="黑体" w:hAnsi="黑体" w:eastAsia="黑体"/>
                <w:color w:val="FF0000"/>
                <w:sz w:val="20"/>
              </w:rPr>
              <w:t>10.普刊计分规则：一年出24期及以上、每期刊载文章篇数在40篇（含）以上不算分数。</w:t>
            </w:r>
          </w:p>
          <w:p>
            <w:pPr>
              <w:adjustRightInd w:val="0"/>
              <w:snapToGrid w:val="0"/>
              <w:rPr>
                <w:rFonts w:ascii="宋体" w:hAnsi="宋体" w:eastAsia="宋体"/>
                <w:sz w:val="20"/>
              </w:rPr>
            </w:pPr>
            <w:r>
              <w:rPr>
                <w:rFonts w:hint="eastAsia" w:ascii="宋体" w:hAnsi="宋体" w:eastAsia="宋体"/>
                <w:sz w:val="20"/>
              </w:rPr>
              <w:t>1</w:t>
            </w:r>
            <w:r>
              <w:rPr>
                <w:rFonts w:ascii="宋体" w:hAnsi="宋体" w:eastAsia="宋体"/>
                <w:sz w:val="20"/>
              </w:rPr>
              <w:t>1</w:t>
            </w:r>
            <w:r>
              <w:rPr>
                <w:rFonts w:hint="eastAsia" w:ascii="宋体" w:hAnsi="宋体" w:eastAsia="宋体"/>
                <w:sz w:val="20"/>
              </w:rPr>
              <w:t>.</w:t>
            </w:r>
            <w:r>
              <w:rPr>
                <w:rFonts w:hint="eastAsia" w:ascii="黑体" w:hAnsi="黑体" w:eastAsia="黑体"/>
                <w:color w:val="FF0000"/>
                <w:sz w:val="20"/>
              </w:rPr>
              <w:t xml:space="preserve"> 报纸理论版文章字数应大于1</w:t>
            </w:r>
            <w:r>
              <w:rPr>
                <w:rFonts w:ascii="黑体" w:hAnsi="黑体" w:eastAsia="黑体"/>
                <w:color w:val="FF0000"/>
                <w:sz w:val="20"/>
              </w:rPr>
              <w:t>5</w:t>
            </w:r>
            <w:r>
              <w:rPr>
                <w:rFonts w:hint="eastAsia" w:ascii="黑体" w:hAnsi="黑体" w:eastAsia="黑体"/>
                <w:color w:val="FF0000"/>
                <w:sz w:val="20"/>
              </w:rPr>
              <w:t>00字，学术期刊论文原则上应大于5000字。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7</w:t>
            </w:r>
            <w:r>
              <w:rPr>
                <w:rFonts w:hint="eastAsia" w:ascii="黑体" w:hAnsi="黑体" w:eastAsia="黑体"/>
                <w:b/>
                <w:color w:val="FF0000"/>
              </w:rPr>
              <w:t>0分/篇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25分/篇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spacing w:line="240" w:lineRule="exact"/>
              <w:rPr>
                <w:sz w:val="16"/>
              </w:rPr>
            </w:pPr>
            <w:r>
              <w:rPr>
                <w:rFonts w:hint="eastAsia"/>
                <w:sz w:val="16"/>
              </w:rPr>
              <w:t>二级学科顶尖期刊；人民</w:t>
            </w:r>
            <w:r>
              <w:rPr>
                <w:sz w:val="16"/>
              </w:rPr>
              <w:t>日报（</w:t>
            </w:r>
            <w:r>
              <w:rPr>
                <w:rFonts w:hint="eastAsia"/>
                <w:sz w:val="16"/>
              </w:rPr>
              <w:t>理论版</w:t>
            </w:r>
            <w:r>
              <w:rPr>
                <w:sz w:val="16"/>
              </w:rPr>
              <w:t>）</w:t>
            </w:r>
            <w:r>
              <w:rPr>
                <w:rFonts w:hint="eastAsia"/>
                <w:sz w:val="16"/>
              </w:rPr>
              <w:t>；</w:t>
            </w:r>
            <w:r>
              <w:rPr>
                <w:sz w:val="16"/>
              </w:rPr>
              <w:t>光明日报（</w:t>
            </w:r>
            <w:r>
              <w:rPr>
                <w:rFonts w:hint="eastAsia"/>
                <w:sz w:val="16"/>
              </w:rPr>
              <w:t>理论版</w:t>
            </w:r>
            <w:r>
              <w:rPr>
                <w:sz w:val="16"/>
              </w:rPr>
              <w:t>）</w:t>
            </w:r>
            <w:r>
              <w:rPr>
                <w:rFonts w:hint="eastAsia"/>
                <w:sz w:val="16"/>
              </w:rPr>
              <w:t>；人大复印资料转载</w:t>
            </w:r>
          </w:p>
        </w:tc>
        <w:tc>
          <w:tcPr>
            <w:tcW w:w="1572" w:type="dxa"/>
            <w:gridSpan w:val="3"/>
            <w:vAlign w:val="center"/>
          </w:tcPr>
          <w:p>
            <w:pPr>
              <w:ind w:left="-34"/>
              <w:jc w:val="center"/>
            </w:pPr>
            <w:r>
              <w:rPr>
                <w:rFonts w:hint="eastAsia"/>
              </w:rPr>
              <w:t>独立</w:t>
            </w:r>
          </w:p>
        </w:tc>
        <w:tc>
          <w:tcPr>
            <w:tcW w:w="1136" w:type="dxa"/>
            <w:vAlign w:val="center"/>
          </w:tcPr>
          <w:p>
            <w:pPr>
              <w:ind w:left="-34"/>
              <w:jc w:val="center"/>
              <w:rPr>
                <w:rFonts w:ascii="黑体" w:hAnsi="黑体" w:eastAsia="黑体"/>
                <w:b/>
                <w:color w:val="FF0000"/>
              </w:rPr>
            </w:pPr>
            <w:r>
              <w:rPr>
                <w:rFonts w:ascii="黑体" w:hAnsi="黑体" w:eastAsia="黑体"/>
                <w:b/>
                <w:color w:val="FF0000"/>
              </w:rPr>
              <w:t>65</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46</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16</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rPr>
              <w:t>CSSCI来源期刊</w:t>
            </w:r>
          </w:p>
        </w:tc>
        <w:tc>
          <w:tcPr>
            <w:tcW w:w="1572" w:type="dxa"/>
            <w:gridSpan w:val="3"/>
            <w:vAlign w:val="center"/>
          </w:tcPr>
          <w:p>
            <w:pPr>
              <w:ind w:left="-34"/>
              <w:jc w:val="center"/>
            </w:pPr>
            <w:r>
              <w:rPr>
                <w:rFonts w:hint="eastAsia"/>
              </w:rPr>
              <w:t>独立</w:t>
            </w:r>
          </w:p>
        </w:tc>
        <w:tc>
          <w:tcPr>
            <w:tcW w:w="1136" w:type="dxa"/>
            <w:vAlign w:val="center"/>
          </w:tcPr>
          <w:p>
            <w:pPr>
              <w:ind w:left="-34"/>
              <w:jc w:val="center"/>
              <w:rPr>
                <w:rFonts w:ascii="黑体" w:hAnsi="黑体" w:eastAsia="黑体"/>
                <w:b/>
                <w:color w:val="FF0000"/>
              </w:rPr>
            </w:pPr>
            <w:r>
              <w:rPr>
                <w:rFonts w:ascii="黑体" w:hAnsi="黑体" w:eastAsia="黑体"/>
                <w:b/>
                <w:color w:val="FF0000"/>
              </w:rPr>
              <w:t>50</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35分/篇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13</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C</w:t>
            </w:r>
            <w:r>
              <w:rPr>
                <w:rFonts w:ascii="黑体" w:hAnsi="黑体" w:eastAsia="黑体"/>
                <w:color w:val="FF0000"/>
              </w:rPr>
              <w:t>SSCI</w:t>
            </w:r>
            <w:r>
              <w:rPr>
                <w:rFonts w:hint="eastAsia" w:ascii="黑体" w:hAnsi="黑体" w:eastAsia="黑体"/>
                <w:color w:val="FF0000"/>
              </w:rPr>
              <w:t>扩展版期刊</w:t>
            </w:r>
          </w:p>
        </w:tc>
        <w:tc>
          <w:tcPr>
            <w:tcW w:w="1572" w:type="dxa"/>
            <w:gridSpan w:val="3"/>
            <w:vAlign w:val="center"/>
          </w:tcPr>
          <w:p>
            <w:pPr>
              <w:ind w:left="-34"/>
              <w:jc w:val="center"/>
            </w:pPr>
            <w:r>
              <w:rPr>
                <w:rFonts w:hint="eastAsia"/>
              </w:rPr>
              <w:t>独立</w:t>
            </w:r>
          </w:p>
        </w:tc>
        <w:tc>
          <w:tcPr>
            <w:tcW w:w="1136" w:type="dxa"/>
            <w:vAlign w:val="center"/>
          </w:tcPr>
          <w:p>
            <w:pPr>
              <w:ind w:left="-34"/>
              <w:jc w:val="center"/>
              <w:rPr>
                <w:rFonts w:ascii="黑体" w:hAnsi="黑体" w:eastAsia="黑体"/>
                <w:b/>
                <w:color w:val="FF0000"/>
              </w:rPr>
            </w:pPr>
            <w:r>
              <w:rPr>
                <w:rFonts w:ascii="黑体" w:hAnsi="黑体" w:eastAsia="黑体"/>
                <w:b/>
                <w:color w:val="FF0000"/>
              </w:rPr>
              <w:t>35</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2</w:t>
            </w:r>
            <w:r>
              <w:rPr>
                <w:rFonts w:ascii="黑体" w:hAnsi="黑体" w:eastAsia="黑体"/>
                <w:b/>
                <w:color w:val="FF0000"/>
              </w:rPr>
              <w:t>5</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9</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其他中文</w:t>
            </w:r>
            <w:r>
              <w:rPr>
                <w:rFonts w:ascii="黑体" w:hAnsi="黑体" w:eastAsia="黑体"/>
                <w:color w:val="FF0000"/>
              </w:rPr>
              <w:t>核心</w:t>
            </w:r>
            <w:r>
              <w:rPr>
                <w:rFonts w:hint="eastAsia" w:ascii="黑体" w:hAnsi="黑体" w:eastAsia="黑体"/>
                <w:color w:val="FF0000"/>
              </w:rPr>
              <w:t>期刊</w:t>
            </w:r>
          </w:p>
        </w:tc>
        <w:tc>
          <w:tcPr>
            <w:tcW w:w="1572" w:type="dxa"/>
            <w:gridSpan w:val="3"/>
            <w:vAlign w:val="center"/>
          </w:tcPr>
          <w:p>
            <w:pPr>
              <w:ind w:left="-34"/>
              <w:jc w:val="center"/>
            </w:pPr>
            <w:r>
              <w:rPr>
                <w:rFonts w:hint="eastAsia"/>
              </w:rPr>
              <w:t>独立</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2</w:t>
            </w:r>
            <w:r>
              <w:rPr>
                <w:rFonts w:ascii="黑体" w:hAnsi="黑体" w:eastAsia="黑体"/>
                <w:b/>
                <w:color w:val="FF0000"/>
              </w:rPr>
              <w:t>5</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restart"/>
            <w:vAlign w:val="center"/>
          </w:tcPr>
          <w:p>
            <w:pPr>
              <w:ind w:left="-34"/>
              <w:jc w:val="center"/>
            </w:pPr>
            <w:r>
              <w:t>合</w:t>
            </w:r>
            <w:r>
              <w:rPr>
                <w:rFonts w:hint="eastAsia"/>
              </w:rPr>
              <w:t>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18</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continue"/>
            <w:vAlign w:val="center"/>
          </w:tcPr>
          <w:p>
            <w:pPr>
              <w:ind w:left="-34"/>
              <w:jc w:val="center"/>
            </w:pPr>
          </w:p>
        </w:tc>
        <w:tc>
          <w:tcPr>
            <w:tcW w:w="1053" w:type="dxa"/>
            <w:gridSpan w:val="2"/>
            <w:vAlign w:val="center"/>
          </w:tcPr>
          <w:p>
            <w:pPr>
              <w:ind w:left="-34"/>
              <w:jc w:val="center"/>
            </w:pPr>
            <w:r>
              <w:t>第二作者</w:t>
            </w:r>
          </w:p>
        </w:tc>
        <w:tc>
          <w:tcPr>
            <w:tcW w:w="1136" w:type="dxa"/>
            <w:vAlign w:val="center"/>
          </w:tcPr>
          <w:p>
            <w:pPr>
              <w:ind w:left="-34"/>
              <w:jc w:val="center"/>
              <w:rPr>
                <w:rFonts w:ascii="黑体" w:hAnsi="黑体" w:eastAsia="黑体"/>
                <w:b/>
                <w:color w:val="FF0000"/>
              </w:rPr>
            </w:pPr>
            <w:r>
              <w:rPr>
                <w:rFonts w:ascii="黑体" w:hAnsi="黑体" w:eastAsia="黑体"/>
                <w:b/>
                <w:color w:val="FF0000"/>
              </w:rPr>
              <w:t>6</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普通</w:t>
            </w:r>
            <w:r>
              <w:rPr>
                <w:rFonts w:ascii="黑体" w:hAnsi="黑体" w:eastAsia="黑体"/>
                <w:color w:val="FF0000"/>
              </w:rPr>
              <w:t>期刊</w:t>
            </w:r>
          </w:p>
        </w:tc>
        <w:tc>
          <w:tcPr>
            <w:tcW w:w="1572" w:type="dxa"/>
            <w:gridSpan w:val="3"/>
            <w:vAlign w:val="center"/>
          </w:tcPr>
          <w:p>
            <w:pPr>
              <w:ind w:left="-34"/>
              <w:jc w:val="center"/>
            </w:pPr>
            <w:r>
              <w:rPr>
                <w:rFonts w:hint="eastAsia"/>
              </w:rPr>
              <w:t>独立</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20分/篇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14分/篇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5分/篇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其他报纸理论版</w:t>
            </w:r>
          </w:p>
        </w:tc>
        <w:tc>
          <w:tcPr>
            <w:tcW w:w="1572" w:type="dxa"/>
            <w:gridSpan w:val="3"/>
            <w:vAlign w:val="center"/>
          </w:tcPr>
          <w:p>
            <w:pPr>
              <w:ind w:left="-34"/>
              <w:jc w:val="center"/>
            </w:pPr>
            <w:r>
              <w:rPr>
                <w:rFonts w:hint="eastAsia"/>
              </w:rPr>
              <w:t>独立</w:t>
            </w:r>
          </w:p>
        </w:tc>
        <w:tc>
          <w:tcPr>
            <w:tcW w:w="1136" w:type="dxa"/>
            <w:vAlign w:val="center"/>
          </w:tcPr>
          <w:p>
            <w:pPr>
              <w:ind w:left="-34"/>
              <w:jc w:val="center"/>
              <w:rPr>
                <w:rFonts w:ascii="黑体" w:hAnsi="黑体" w:eastAsia="黑体"/>
                <w:b/>
                <w:color w:val="FF0000"/>
              </w:rPr>
            </w:pPr>
            <w:r>
              <w:rPr>
                <w:rFonts w:ascii="黑体" w:hAnsi="黑体" w:eastAsia="黑体"/>
                <w:b/>
                <w:color w:val="FF0000"/>
              </w:rPr>
              <w:t>15</w:t>
            </w:r>
            <w:r>
              <w:rPr>
                <w:rFonts w:hint="eastAsia" w:ascii="黑体" w:hAnsi="黑体" w:eastAsia="黑体"/>
                <w:b/>
                <w:color w:val="FF0000"/>
              </w:rPr>
              <w:t>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t>合</w:t>
            </w:r>
            <w:r>
              <w:rPr>
                <w:rFonts w:hint="eastAsia"/>
              </w:rPr>
              <w:t>作</w:t>
            </w:r>
          </w:p>
        </w:tc>
        <w:tc>
          <w:tcPr>
            <w:tcW w:w="1053" w:type="dxa"/>
            <w:gridSpan w:val="2"/>
            <w:vAlign w:val="center"/>
          </w:tcPr>
          <w:p>
            <w:pPr>
              <w:ind w:left="-34"/>
              <w:jc w:val="center"/>
            </w:pPr>
            <w:r>
              <w:rPr>
                <w:rFonts w:hint="eastAsia"/>
              </w:rPr>
              <w:t>第一作者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11分/篇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t>第二作者</w:t>
            </w:r>
          </w:p>
        </w:tc>
        <w:tc>
          <w:tcPr>
            <w:tcW w:w="1136" w:type="dxa"/>
            <w:vAlign w:val="center"/>
          </w:tcPr>
          <w:p>
            <w:pPr>
              <w:ind w:left="-34"/>
              <w:jc w:val="center"/>
              <w:rPr>
                <w:rFonts w:ascii="黑体" w:hAnsi="黑体" w:eastAsia="黑体"/>
                <w:b/>
                <w:color w:val="FF0000"/>
              </w:rPr>
            </w:pPr>
            <w:r>
              <w:rPr>
                <w:rFonts w:hint="eastAsia" w:ascii="黑体" w:hAnsi="黑体" w:eastAsia="黑体"/>
                <w:b/>
                <w:color w:val="FF0000"/>
              </w:rPr>
              <w:t>4分/篇</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814" w:type="dxa"/>
            <w:vMerge w:val="continue"/>
          </w:tcPr>
          <w:p>
            <w:pPr>
              <w:ind w:left="-34"/>
              <w:jc w:val="center"/>
            </w:pPr>
          </w:p>
        </w:tc>
        <w:tc>
          <w:tcPr>
            <w:tcW w:w="1137" w:type="dxa"/>
            <w:gridSpan w:val="2"/>
            <w:vMerge w:val="restart"/>
            <w:vAlign w:val="center"/>
          </w:tcPr>
          <w:p>
            <w:pPr>
              <w:ind w:left="-34"/>
              <w:jc w:val="center"/>
            </w:pPr>
            <w:r>
              <w:rPr>
                <w:rFonts w:hint="eastAsia"/>
              </w:rPr>
              <w:t>会议</w:t>
            </w:r>
          </w:p>
        </w:tc>
        <w:tc>
          <w:tcPr>
            <w:tcW w:w="2267" w:type="dxa"/>
            <w:gridSpan w:val="5"/>
            <w:vAlign w:val="center"/>
          </w:tcPr>
          <w:p>
            <w:pPr>
              <w:ind w:left="-34"/>
              <w:jc w:val="center"/>
            </w:pPr>
            <w:r>
              <w:rPr>
                <w:rFonts w:hint="eastAsia"/>
              </w:rPr>
              <w:t>国际学术会议</w:t>
            </w:r>
          </w:p>
        </w:tc>
        <w:tc>
          <w:tcPr>
            <w:tcW w:w="1136" w:type="dxa"/>
            <w:vAlign w:val="center"/>
          </w:tcPr>
          <w:p>
            <w:pPr>
              <w:ind w:left="-34"/>
              <w:jc w:val="center"/>
            </w:pPr>
            <w:r>
              <w:rPr>
                <w:rFonts w:hint="eastAsia"/>
              </w:rPr>
              <w:t>3分/次</w:t>
            </w:r>
          </w:p>
        </w:tc>
        <w:tc>
          <w:tcPr>
            <w:tcW w:w="3826" w:type="dxa"/>
            <w:gridSpan w:val="2"/>
            <w:vMerge w:val="restart"/>
            <w:vAlign w:val="center"/>
          </w:tcPr>
          <w:p>
            <w:pPr>
              <w:adjustRightInd w:val="0"/>
              <w:snapToGrid w:val="0"/>
              <w:rPr>
                <w:rFonts w:ascii="宋体" w:hAnsi="宋体" w:eastAsia="宋体"/>
                <w:sz w:val="20"/>
              </w:rPr>
            </w:pPr>
            <w:r>
              <w:rPr>
                <w:rFonts w:ascii="宋体" w:hAnsi="宋体" w:eastAsia="宋体"/>
                <w:sz w:val="20"/>
              </w:rPr>
              <w:t>1.</w:t>
            </w:r>
            <w:r>
              <w:rPr>
                <w:rFonts w:hint="eastAsia" w:ascii="宋体" w:hAnsi="宋体" w:eastAsia="宋体"/>
                <w:sz w:val="20"/>
              </w:rPr>
              <w:t>需提供会议邀请函、论文集、本人文章摘要、发言稿、获奖证明、相关报道等材料。在大会上做主题发言（有相关证明材料）可追加1分。相似主题和内容的文章只能计算1次。</w:t>
            </w:r>
            <w:r>
              <w:rPr>
                <w:rFonts w:hint="eastAsia" w:ascii="黑体" w:hAnsi="黑体" w:eastAsia="黑体"/>
                <w:color w:val="FF0000"/>
                <w:sz w:val="20"/>
              </w:rPr>
              <w:t>会议计分</w:t>
            </w:r>
            <w:r>
              <w:rPr>
                <w:rFonts w:ascii="黑体" w:hAnsi="黑体" w:eastAsia="黑体"/>
                <w:color w:val="FF0000"/>
                <w:sz w:val="20"/>
              </w:rPr>
              <w:t>5</w:t>
            </w:r>
            <w:r>
              <w:rPr>
                <w:rFonts w:hint="eastAsia" w:ascii="黑体" w:hAnsi="黑体" w:eastAsia="黑体"/>
                <w:color w:val="FF0000"/>
                <w:sz w:val="20"/>
              </w:rPr>
              <w:t>分封顶</w:t>
            </w:r>
          </w:p>
          <w:p>
            <w:pPr>
              <w:adjustRightInd w:val="0"/>
              <w:snapToGrid w:val="0"/>
              <w:rPr>
                <w:rFonts w:ascii="宋体" w:hAnsi="宋体" w:eastAsia="宋体"/>
                <w:sz w:val="20"/>
              </w:rPr>
            </w:pPr>
            <w:r>
              <w:rPr>
                <w:rFonts w:hint="eastAsia" w:ascii="宋体" w:hAnsi="宋体" w:eastAsia="宋体"/>
                <w:sz w:val="20"/>
              </w:rPr>
              <w:t>2.</w:t>
            </w:r>
            <w:r>
              <w:rPr>
                <w:rFonts w:hint="eastAsia" w:ascii="黑体" w:hAnsi="黑体" w:eastAsia="黑体"/>
                <w:color w:val="FF0000"/>
                <w:sz w:val="20"/>
              </w:rPr>
              <w:t>有公开出版的会议论文集，入选文章按照一篇普刊计分。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ind w:left="-34"/>
              <w:jc w:val="center"/>
            </w:pPr>
            <w:r>
              <w:rPr>
                <w:rFonts w:hint="eastAsia"/>
              </w:rPr>
              <w:t>国内学术会议</w:t>
            </w:r>
          </w:p>
        </w:tc>
        <w:tc>
          <w:tcPr>
            <w:tcW w:w="1136" w:type="dxa"/>
            <w:vAlign w:val="center"/>
          </w:tcPr>
          <w:p>
            <w:pPr>
              <w:ind w:left="-34"/>
              <w:jc w:val="center"/>
            </w:pPr>
            <w:r>
              <w:rPr>
                <w:rFonts w:hint="eastAsia"/>
              </w:rPr>
              <w:t>1分/次</w:t>
            </w:r>
          </w:p>
        </w:tc>
        <w:tc>
          <w:tcPr>
            <w:tcW w:w="3826" w:type="dxa"/>
            <w:gridSpan w:val="2"/>
            <w:vMerge w:val="continue"/>
            <w:vAlign w:val="center"/>
          </w:tcPr>
          <w:p>
            <w:pPr>
              <w:ind w:left="-34"/>
              <w:jc w:val="center"/>
            </w:pPr>
          </w:p>
        </w:tc>
      </w:tr>
      <w:tr>
        <w:tblPrEx>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restart"/>
            <w:vAlign w:val="center"/>
          </w:tcPr>
          <w:p>
            <w:pPr>
              <w:ind w:left="-34"/>
              <w:jc w:val="center"/>
            </w:pPr>
            <w:r>
              <w:rPr>
                <w:rFonts w:hint="eastAsia"/>
              </w:rPr>
              <w:t>主持课题</w:t>
            </w:r>
          </w:p>
        </w:tc>
        <w:tc>
          <w:tcPr>
            <w:tcW w:w="2267" w:type="dxa"/>
            <w:gridSpan w:val="5"/>
            <w:vAlign w:val="center"/>
          </w:tcPr>
          <w:p>
            <w:pPr>
              <w:spacing w:line="312" w:lineRule="auto"/>
              <w:ind w:left="-34"/>
              <w:jc w:val="center"/>
            </w:pPr>
            <w:r>
              <w:rPr>
                <w:rFonts w:hint="eastAsia"/>
              </w:rPr>
              <w:t>厅局级和校级</w:t>
            </w:r>
          </w:p>
        </w:tc>
        <w:tc>
          <w:tcPr>
            <w:tcW w:w="1136" w:type="dxa"/>
            <w:vAlign w:val="center"/>
          </w:tcPr>
          <w:p>
            <w:pPr>
              <w:ind w:left="-34"/>
              <w:jc w:val="center"/>
            </w:pPr>
            <w:r>
              <w:rPr>
                <w:rFonts w:hint="eastAsia"/>
              </w:rPr>
              <w:t>8分/项</w:t>
            </w:r>
          </w:p>
        </w:tc>
        <w:tc>
          <w:tcPr>
            <w:tcW w:w="3826" w:type="dxa"/>
            <w:gridSpan w:val="2"/>
            <w:vMerge w:val="restart"/>
            <w:vAlign w:val="center"/>
          </w:tcPr>
          <w:p>
            <w:pPr>
              <w:adjustRightInd w:val="0"/>
              <w:snapToGrid w:val="0"/>
              <w:ind w:left="-34"/>
              <w:rPr>
                <w:rFonts w:ascii="宋体" w:hAnsi="宋体" w:eastAsia="宋体"/>
                <w:sz w:val="20"/>
                <w:szCs w:val="21"/>
              </w:rPr>
            </w:pPr>
            <w:r>
              <w:rPr>
                <w:rFonts w:hint="eastAsia" w:ascii="宋体" w:hAnsi="宋体" w:eastAsia="宋体"/>
                <w:sz w:val="20"/>
                <w:szCs w:val="21"/>
              </w:rPr>
              <w:t>1</w:t>
            </w:r>
            <w:r>
              <w:rPr>
                <w:rFonts w:ascii="宋体" w:hAnsi="宋体" w:eastAsia="宋体"/>
                <w:sz w:val="20"/>
                <w:szCs w:val="21"/>
              </w:rPr>
              <w:t>.</w:t>
            </w:r>
            <w:r>
              <w:rPr>
                <w:rFonts w:hint="eastAsia" w:ascii="宋体" w:hAnsi="宋体" w:eastAsia="宋体"/>
                <w:sz w:val="20"/>
                <w:szCs w:val="21"/>
              </w:rPr>
              <w:t>必须是评审年度内获得立项的课题，以同一或相类似主题申请的不同级别的课题仅以最高级别计分一次。上一年度已计分的课题不带入下一年度。</w:t>
            </w:r>
          </w:p>
          <w:p>
            <w:pPr>
              <w:adjustRightInd w:val="0"/>
              <w:snapToGrid w:val="0"/>
              <w:ind w:left="-34"/>
              <w:rPr>
                <w:rFonts w:ascii="宋体" w:hAnsi="宋体" w:eastAsia="宋体"/>
                <w:sz w:val="20"/>
                <w:szCs w:val="21"/>
              </w:rPr>
            </w:pPr>
            <w:r>
              <w:rPr>
                <w:rFonts w:hint="eastAsia" w:ascii="宋体" w:hAnsi="宋体" w:eastAsia="宋体"/>
                <w:sz w:val="20"/>
                <w:szCs w:val="21"/>
              </w:rPr>
              <w:t>2.参与课题一项，学生须为正式的课题组成员（以申报书为准），需课题组负责人出具参与课题申报阶段具体工作的证明。</w:t>
            </w:r>
          </w:p>
          <w:p>
            <w:pPr>
              <w:adjustRightInd w:val="0"/>
              <w:snapToGrid w:val="0"/>
              <w:ind w:left="-34"/>
            </w:pPr>
            <w:r>
              <w:rPr>
                <w:rFonts w:hint="eastAsia" w:ascii="宋体" w:hAnsi="宋体" w:eastAsia="宋体"/>
                <w:szCs w:val="21"/>
              </w:rPr>
              <w:t>3.</w:t>
            </w:r>
            <w:r>
              <w:rPr>
                <w:rFonts w:hint="eastAsia" w:ascii="黑体" w:hAnsi="黑体" w:eastAsia="黑体"/>
                <w:color w:val="FF0000"/>
                <w:sz w:val="20"/>
              </w:rPr>
              <w:t>校级课题指学校社科处发布的有正式课题编号的项目。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学院</w:t>
            </w:r>
          </w:p>
        </w:tc>
        <w:tc>
          <w:tcPr>
            <w:tcW w:w="1136" w:type="dxa"/>
            <w:vAlign w:val="center"/>
          </w:tcPr>
          <w:p>
            <w:pPr>
              <w:ind w:left="-34"/>
              <w:jc w:val="center"/>
            </w:pPr>
            <w:r>
              <w:t>3</w:t>
            </w:r>
            <w:r>
              <w:rPr>
                <w:rFonts w:hint="eastAsia"/>
              </w:rPr>
              <w:t>分/项</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restart"/>
            <w:vAlign w:val="center"/>
          </w:tcPr>
          <w:p>
            <w:pPr>
              <w:ind w:left="-34"/>
              <w:jc w:val="center"/>
            </w:pPr>
            <w:r>
              <w:rPr>
                <w:rFonts w:hint="eastAsia"/>
              </w:rPr>
              <w:t>参与课题</w:t>
            </w:r>
          </w:p>
        </w:tc>
        <w:tc>
          <w:tcPr>
            <w:tcW w:w="2267" w:type="dxa"/>
            <w:gridSpan w:val="5"/>
            <w:vAlign w:val="center"/>
          </w:tcPr>
          <w:p>
            <w:pPr>
              <w:spacing w:line="312" w:lineRule="auto"/>
              <w:ind w:left="-34"/>
              <w:jc w:val="center"/>
            </w:pPr>
            <w:r>
              <w:rPr>
                <w:rFonts w:hint="eastAsia"/>
              </w:rPr>
              <w:t>国家级</w:t>
            </w:r>
          </w:p>
        </w:tc>
        <w:tc>
          <w:tcPr>
            <w:tcW w:w="1136" w:type="dxa"/>
            <w:vAlign w:val="center"/>
          </w:tcPr>
          <w:p>
            <w:pPr>
              <w:ind w:left="-34"/>
              <w:jc w:val="center"/>
            </w:pPr>
            <w:r>
              <w:rPr>
                <w:rFonts w:hint="eastAsia"/>
              </w:rPr>
              <w:t>8分/项</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省部级</w:t>
            </w:r>
          </w:p>
        </w:tc>
        <w:tc>
          <w:tcPr>
            <w:tcW w:w="1136" w:type="dxa"/>
            <w:vAlign w:val="center"/>
          </w:tcPr>
          <w:p>
            <w:pPr>
              <w:ind w:left="-34"/>
              <w:jc w:val="center"/>
            </w:pPr>
            <w:r>
              <w:rPr>
                <w:rFonts w:hint="eastAsia"/>
              </w:rPr>
              <w:t>5分/项</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厅局级和校级</w:t>
            </w:r>
          </w:p>
        </w:tc>
        <w:tc>
          <w:tcPr>
            <w:tcW w:w="1136" w:type="dxa"/>
            <w:vAlign w:val="center"/>
          </w:tcPr>
          <w:p>
            <w:pPr>
              <w:ind w:left="-34"/>
              <w:jc w:val="center"/>
            </w:pPr>
            <w:r>
              <w:rPr>
                <w:rFonts w:hint="eastAsia"/>
              </w:rPr>
              <w:t>3分/项</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学院</w:t>
            </w:r>
          </w:p>
        </w:tc>
        <w:tc>
          <w:tcPr>
            <w:tcW w:w="1136" w:type="dxa"/>
            <w:vAlign w:val="center"/>
          </w:tcPr>
          <w:p>
            <w:pPr>
              <w:ind w:left="-34"/>
              <w:jc w:val="center"/>
            </w:pPr>
            <w:r>
              <w:rPr>
                <w:rFonts w:hint="eastAsia"/>
              </w:rPr>
              <w:t>1分/项</w:t>
            </w:r>
          </w:p>
        </w:tc>
        <w:tc>
          <w:tcPr>
            <w:tcW w:w="3826"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814" w:type="dxa"/>
            <w:vMerge w:val="restart"/>
            <w:vAlign w:val="center"/>
          </w:tcPr>
          <w:p>
            <w:pPr>
              <w:ind w:left="-34"/>
              <w:jc w:val="center"/>
            </w:pPr>
            <w:r>
              <w:rPr>
                <w:rFonts w:hint="eastAsia"/>
                <w:b/>
              </w:rPr>
              <w:t>理论宣讲</w:t>
            </w:r>
          </w:p>
        </w:tc>
        <w:tc>
          <w:tcPr>
            <w:tcW w:w="1702" w:type="dxa"/>
            <w:gridSpan w:val="3"/>
          </w:tcPr>
          <w:p>
            <w:pPr>
              <w:spacing w:line="264" w:lineRule="auto"/>
              <w:jc w:val="center"/>
            </w:pPr>
          </w:p>
        </w:tc>
        <w:tc>
          <w:tcPr>
            <w:tcW w:w="1417" w:type="dxa"/>
            <w:gridSpan w:val="3"/>
          </w:tcPr>
          <w:p>
            <w:pPr>
              <w:spacing w:line="264" w:lineRule="auto"/>
              <w:jc w:val="center"/>
              <w:rPr>
                <w:sz w:val="18"/>
                <w:szCs w:val="18"/>
              </w:rPr>
            </w:pPr>
            <w:r>
              <w:rPr>
                <w:sz w:val="18"/>
                <w:szCs w:val="18"/>
              </w:rPr>
              <w:t>独立宣讲</w:t>
            </w:r>
          </w:p>
        </w:tc>
        <w:tc>
          <w:tcPr>
            <w:tcW w:w="1421" w:type="dxa"/>
            <w:gridSpan w:val="2"/>
          </w:tcPr>
          <w:p>
            <w:pPr>
              <w:spacing w:line="264" w:lineRule="auto"/>
              <w:jc w:val="center"/>
              <w:rPr>
                <w:sz w:val="18"/>
                <w:szCs w:val="18"/>
              </w:rPr>
            </w:pPr>
            <w:r>
              <w:rPr>
                <w:sz w:val="18"/>
                <w:szCs w:val="18"/>
              </w:rPr>
              <w:t>团队宣讲</w:t>
            </w:r>
          </w:p>
        </w:tc>
        <w:tc>
          <w:tcPr>
            <w:tcW w:w="3826" w:type="dxa"/>
            <w:gridSpan w:val="2"/>
            <w:vMerge w:val="restart"/>
            <w:vAlign w:val="center"/>
          </w:tcPr>
          <w:p>
            <w:pPr>
              <w:adjustRightInd w:val="0"/>
              <w:snapToGrid w:val="0"/>
              <w:spacing w:line="220" w:lineRule="atLeast"/>
              <w:rPr>
                <w:rFonts w:asciiTheme="minorEastAsia" w:hAnsiTheme="minorEastAsia"/>
                <w:sz w:val="20"/>
                <w:szCs w:val="18"/>
              </w:rPr>
            </w:pPr>
            <w:r>
              <w:rPr>
                <w:rFonts w:hint="eastAsia" w:ascii="黑体" w:hAnsi="黑体" w:eastAsia="黑体"/>
                <w:color w:val="FF0000"/>
                <w:sz w:val="20"/>
                <w:szCs w:val="18"/>
              </w:rPr>
              <w:t>1.所有宣讲必须由学校、学院派出</w:t>
            </w:r>
            <w:r>
              <w:rPr>
                <w:rFonts w:hint="eastAsia" w:asciiTheme="minorEastAsia" w:hAnsiTheme="minorEastAsia"/>
                <w:sz w:val="20"/>
                <w:szCs w:val="18"/>
              </w:rPr>
              <w:t>，方具备计分资格。级别以邀请方级别为准。</w:t>
            </w:r>
          </w:p>
          <w:p>
            <w:pPr>
              <w:adjustRightInd w:val="0"/>
              <w:snapToGrid w:val="0"/>
              <w:spacing w:line="220" w:lineRule="atLeast"/>
              <w:rPr>
                <w:rFonts w:asciiTheme="minorEastAsia" w:hAnsiTheme="minorEastAsia"/>
                <w:sz w:val="20"/>
                <w:szCs w:val="18"/>
              </w:rPr>
            </w:pPr>
            <w:r>
              <w:rPr>
                <w:rFonts w:hint="eastAsia" w:asciiTheme="minorEastAsia" w:hAnsiTheme="minorEastAsia"/>
                <w:sz w:val="20"/>
                <w:szCs w:val="18"/>
              </w:rPr>
              <w:t>2.独立宣讲要求1人完成全部授课，时间1小时以上（授课时间40</w:t>
            </w:r>
            <w:r>
              <w:rPr>
                <w:rFonts w:asciiTheme="minorEastAsia" w:hAnsiTheme="minorEastAsia"/>
                <w:sz w:val="20"/>
                <w:szCs w:val="18"/>
              </w:rPr>
              <w:t>-60</w:t>
            </w:r>
            <w:r>
              <w:rPr>
                <w:rFonts w:hint="eastAsia" w:asciiTheme="minorEastAsia" w:hAnsiTheme="minorEastAsia"/>
                <w:sz w:val="20"/>
                <w:szCs w:val="18"/>
              </w:rPr>
              <w:t>分钟的计分</w:t>
            </w:r>
            <w:r>
              <w:rPr>
                <w:rFonts w:asciiTheme="minorEastAsia" w:hAnsiTheme="minorEastAsia"/>
                <w:sz w:val="20"/>
                <w:szCs w:val="18"/>
              </w:rPr>
              <w:t>减半，不足</w:t>
            </w:r>
            <w:r>
              <w:rPr>
                <w:rFonts w:hint="eastAsia" w:asciiTheme="minorEastAsia" w:hAnsiTheme="minorEastAsia"/>
                <w:sz w:val="20"/>
                <w:szCs w:val="18"/>
              </w:rPr>
              <w:t>40分钟</w:t>
            </w:r>
            <w:r>
              <w:rPr>
                <w:rFonts w:asciiTheme="minorEastAsia" w:hAnsiTheme="minorEastAsia"/>
                <w:sz w:val="20"/>
                <w:szCs w:val="18"/>
              </w:rPr>
              <w:t>不计分</w:t>
            </w:r>
            <w:r>
              <w:rPr>
                <w:rFonts w:hint="eastAsia" w:asciiTheme="minorEastAsia" w:hAnsiTheme="minorEastAsia"/>
                <w:sz w:val="20"/>
                <w:szCs w:val="18"/>
              </w:rPr>
              <w:t>），</w:t>
            </w:r>
            <w:r>
              <w:rPr>
                <w:rFonts w:hint="eastAsia" w:ascii="黑体" w:hAnsi="黑体" w:eastAsia="黑体"/>
                <w:color w:val="FF0000"/>
                <w:sz w:val="20"/>
                <w:szCs w:val="18"/>
              </w:rPr>
              <w:t>需提供新闻报道、讲授课件等。</w:t>
            </w:r>
          </w:p>
          <w:p>
            <w:pPr>
              <w:adjustRightInd w:val="0"/>
              <w:snapToGrid w:val="0"/>
              <w:spacing w:line="220" w:lineRule="atLeast"/>
              <w:rPr>
                <w:rFonts w:asciiTheme="minorEastAsia" w:hAnsiTheme="minorEastAsia"/>
                <w:sz w:val="20"/>
                <w:szCs w:val="18"/>
              </w:rPr>
            </w:pPr>
            <w:r>
              <w:rPr>
                <w:rFonts w:asciiTheme="minorEastAsia" w:hAnsiTheme="minorEastAsia"/>
                <w:sz w:val="20"/>
                <w:szCs w:val="18"/>
              </w:rPr>
              <w:t>3</w:t>
            </w:r>
            <w:r>
              <w:rPr>
                <w:rFonts w:hint="eastAsia" w:asciiTheme="minorEastAsia" w:hAnsiTheme="minorEastAsia"/>
                <w:sz w:val="20"/>
                <w:szCs w:val="18"/>
              </w:rPr>
              <w:t>.各种交流座谈活动不计分。</w:t>
            </w:r>
          </w:p>
          <w:p>
            <w:pPr>
              <w:adjustRightInd w:val="0"/>
              <w:snapToGrid w:val="0"/>
              <w:spacing w:line="220" w:lineRule="atLeast"/>
              <w:rPr>
                <w:rFonts w:asciiTheme="minorEastAsia" w:hAnsiTheme="minorEastAsia"/>
                <w:sz w:val="18"/>
              </w:rPr>
            </w:pPr>
            <w:r>
              <w:rPr>
                <w:rFonts w:asciiTheme="minorEastAsia" w:hAnsiTheme="minorEastAsia"/>
                <w:sz w:val="20"/>
                <w:szCs w:val="18"/>
              </w:rPr>
              <w:t>4.</w:t>
            </w:r>
            <w:r>
              <w:rPr>
                <w:rFonts w:hint="eastAsia" w:ascii="黑体" w:hAnsi="黑体" w:eastAsia="黑体"/>
                <w:color w:val="FF0000"/>
                <w:sz w:val="20"/>
                <w:szCs w:val="18"/>
              </w:rPr>
              <w:t>宣讲累计计分原则上不超过个人科研能力计分总和。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14" w:type="dxa"/>
            <w:vMerge w:val="continue"/>
          </w:tcPr>
          <w:p>
            <w:pPr>
              <w:jc w:val="center"/>
            </w:pPr>
          </w:p>
        </w:tc>
        <w:tc>
          <w:tcPr>
            <w:tcW w:w="1702" w:type="dxa"/>
            <w:gridSpan w:val="3"/>
            <w:vAlign w:val="center"/>
          </w:tcPr>
          <w:p>
            <w:pPr>
              <w:spacing w:line="264" w:lineRule="auto"/>
              <w:jc w:val="center"/>
              <w:rPr>
                <w:sz w:val="18"/>
                <w:szCs w:val="18"/>
              </w:rPr>
            </w:pPr>
            <w:r>
              <w:rPr>
                <w:sz w:val="18"/>
                <w:szCs w:val="18"/>
              </w:rPr>
              <w:t>国家级</w:t>
            </w:r>
            <w:r>
              <w:rPr>
                <w:rFonts w:hint="eastAsia"/>
                <w:sz w:val="18"/>
                <w:szCs w:val="18"/>
              </w:rPr>
              <w:t>单位</w:t>
            </w:r>
          </w:p>
        </w:tc>
        <w:tc>
          <w:tcPr>
            <w:tcW w:w="1417" w:type="dxa"/>
            <w:gridSpan w:val="3"/>
            <w:vAlign w:val="center"/>
          </w:tcPr>
          <w:p>
            <w:pPr>
              <w:spacing w:line="264" w:lineRule="auto"/>
              <w:jc w:val="center"/>
            </w:pPr>
            <w:r>
              <w:rPr>
                <w:rFonts w:hint="eastAsia"/>
              </w:rPr>
              <w:t>8分/场</w:t>
            </w:r>
          </w:p>
        </w:tc>
        <w:tc>
          <w:tcPr>
            <w:tcW w:w="1421" w:type="dxa"/>
            <w:gridSpan w:val="2"/>
            <w:vAlign w:val="center"/>
          </w:tcPr>
          <w:p>
            <w:pPr>
              <w:spacing w:line="264" w:lineRule="auto"/>
              <w:jc w:val="center"/>
            </w:pPr>
            <w:r>
              <w:t>4</w:t>
            </w:r>
            <w:r>
              <w:rPr>
                <w:rFonts w:hint="eastAsia"/>
              </w:rPr>
              <w:t>分/场</w:t>
            </w:r>
          </w:p>
        </w:tc>
        <w:tc>
          <w:tcPr>
            <w:tcW w:w="3826"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814" w:type="dxa"/>
            <w:vMerge w:val="continue"/>
          </w:tcPr>
          <w:p>
            <w:pPr>
              <w:jc w:val="center"/>
            </w:pPr>
          </w:p>
        </w:tc>
        <w:tc>
          <w:tcPr>
            <w:tcW w:w="1702" w:type="dxa"/>
            <w:gridSpan w:val="3"/>
          </w:tcPr>
          <w:p>
            <w:pPr>
              <w:spacing w:line="264" w:lineRule="auto"/>
              <w:jc w:val="center"/>
              <w:rPr>
                <w:sz w:val="18"/>
                <w:szCs w:val="18"/>
              </w:rPr>
            </w:pPr>
            <w:r>
              <w:rPr>
                <w:sz w:val="18"/>
                <w:szCs w:val="18"/>
              </w:rPr>
              <w:t>省部级</w:t>
            </w:r>
            <w:r>
              <w:rPr>
                <w:rFonts w:hint="eastAsia"/>
                <w:sz w:val="18"/>
                <w:szCs w:val="18"/>
              </w:rPr>
              <w:t>单位</w:t>
            </w:r>
          </w:p>
        </w:tc>
        <w:tc>
          <w:tcPr>
            <w:tcW w:w="1417" w:type="dxa"/>
            <w:gridSpan w:val="3"/>
          </w:tcPr>
          <w:p>
            <w:pPr>
              <w:spacing w:line="264" w:lineRule="auto"/>
              <w:jc w:val="center"/>
            </w:pPr>
            <w:r>
              <w:rPr>
                <w:rFonts w:hint="eastAsia"/>
              </w:rPr>
              <w:t>6分/场</w:t>
            </w:r>
          </w:p>
        </w:tc>
        <w:tc>
          <w:tcPr>
            <w:tcW w:w="1421" w:type="dxa"/>
            <w:gridSpan w:val="2"/>
          </w:tcPr>
          <w:p>
            <w:pPr>
              <w:spacing w:line="264" w:lineRule="auto"/>
              <w:jc w:val="center"/>
            </w:pPr>
            <w:r>
              <w:rPr>
                <w:rFonts w:hint="eastAsia"/>
              </w:rPr>
              <w:t>3分/场</w:t>
            </w:r>
          </w:p>
        </w:tc>
        <w:tc>
          <w:tcPr>
            <w:tcW w:w="3826"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14" w:type="dxa"/>
            <w:vMerge w:val="continue"/>
          </w:tcPr>
          <w:p>
            <w:pPr>
              <w:jc w:val="center"/>
            </w:pPr>
          </w:p>
        </w:tc>
        <w:tc>
          <w:tcPr>
            <w:tcW w:w="1702" w:type="dxa"/>
            <w:gridSpan w:val="3"/>
          </w:tcPr>
          <w:p>
            <w:pPr>
              <w:spacing w:line="264" w:lineRule="auto"/>
              <w:jc w:val="center"/>
              <w:rPr>
                <w:sz w:val="18"/>
                <w:szCs w:val="18"/>
              </w:rPr>
            </w:pPr>
            <w:r>
              <w:rPr>
                <w:rFonts w:hint="eastAsia"/>
                <w:sz w:val="18"/>
                <w:szCs w:val="18"/>
              </w:rPr>
              <w:t>校际、社区工厂等</w:t>
            </w:r>
          </w:p>
        </w:tc>
        <w:tc>
          <w:tcPr>
            <w:tcW w:w="1417" w:type="dxa"/>
            <w:gridSpan w:val="3"/>
          </w:tcPr>
          <w:p>
            <w:pPr>
              <w:spacing w:line="264" w:lineRule="auto"/>
              <w:jc w:val="center"/>
            </w:pPr>
            <w:r>
              <w:rPr>
                <w:rFonts w:hint="eastAsia"/>
              </w:rPr>
              <w:t>4分/场</w:t>
            </w:r>
          </w:p>
        </w:tc>
        <w:tc>
          <w:tcPr>
            <w:tcW w:w="1421" w:type="dxa"/>
            <w:gridSpan w:val="2"/>
          </w:tcPr>
          <w:p>
            <w:pPr>
              <w:spacing w:line="264" w:lineRule="auto"/>
              <w:jc w:val="center"/>
            </w:pPr>
            <w:r>
              <w:rPr>
                <w:rFonts w:hint="eastAsia"/>
              </w:rPr>
              <w:t>2分/场</w:t>
            </w:r>
          </w:p>
        </w:tc>
        <w:tc>
          <w:tcPr>
            <w:tcW w:w="3826"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14" w:type="dxa"/>
            <w:vMerge w:val="continue"/>
          </w:tcPr>
          <w:p>
            <w:pPr>
              <w:jc w:val="center"/>
            </w:pPr>
          </w:p>
        </w:tc>
        <w:tc>
          <w:tcPr>
            <w:tcW w:w="1702" w:type="dxa"/>
            <w:gridSpan w:val="3"/>
          </w:tcPr>
          <w:p>
            <w:pPr>
              <w:spacing w:line="264" w:lineRule="auto"/>
              <w:jc w:val="center"/>
              <w:rPr>
                <w:sz w:val="18"/>
                <w:szCs w:val="18"/>
              </w:rPr>
            </w:pPr>
            <w:r>
              <w:rPr>
                <w:rFonts w:hint="eastAsia"/>
                <w:sz w:val="18"/>
                <w:szCs w:val="18"/>
              </w:rPr>
              <w:t>校内各单位</w:t>
            </w:r>
          </w:p>
        </w:tc>
        <w:tc>
          <w:tcPr>
            <w:tcW w:w="1417" w:type="dxa"/>
            <w:gridSpan w:val="3"/>
          </w:tcPr>
          <w:p>
            <w:pPr>
              <w:spacing w:line="264" w:lineRule="auto"/>
              <w:jc w:val="center"/>
            </w:pPr>
            <w:r>
              <w:rPr>
                <w:rFonts w:hint="eastAsia"/>
              </w:rPr>
              <w:t>2分/场</w:t>
            </w:r>
          </w:p>
        </w:tc>
        <w:tc>
          <w:tcPr>
            <w:tcW w:w="1421" w:type="dxa"/>
            <w:gridSpan w:val="2"/>
          </w:tcPr>
          <w:p>
            <w:pPr>
              <w:spacing w:line="264" w:lineRule="auto"/>
              <w:jc w:val="center"/>
            </w:pPr>
            <w:r>
              <w:rPr>
                <w:rFonts w:hint="eastAsia"/>
              </w:rPr>
              <w:t>1分/场</w:t>
            </w:r>
          </w:p>
        </w:tc>
        <w:tc>
          <w:tcPr>
            <w:tcW w:w="3826"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814" w:type="dxa"/>
            <w:vMerge w:val="restart"/>
            <w:vAlign w:val="center"/>
          </w:tcPr>
          <w:p>
            <w:pPr>
              <w:ind w:left="-34"/>
              <w:jc w:val="center"/>
              <w:rPr>
                <w:b/>
              </w:rPr>
            </w:pPr>
            <w:r>
              <w:rPr>
                <w:rFonts w:hint="eastAsia"/>
                <w:b/>
              </w:rPr>
              <w:t>参与思政工作</w:t>
            </w:r>
          </w:p>
        </w:tc>
        <w:tc>
          <w:tcPr>
            <w:tcW w:w="3404" w:type="dxa"/>
            <w:gridSpan w:val="7"/>
            <w:vAlign w:val="center"/>
          </w:tcPr>
          <w:p>
            <w:r>
              <w:rPr>
                <w:rFonts w:hint="eastAsia"/>
                <w:sz w:val="18"/>
                <w:szCs w:val="18"/>
              </w:rPr>
              <w:t>担任党支部书记、班长、研究生会部长以上、理论社团负责人等主要学生干部</w:t>
            </w:r>
          </w:p>
        </w:tc>
        <w:tc>
          <w:tcPr>
            <w:tcW w:w="1136" w:type="dxa"/>
            <w:vAlign w:val="center"/>
          </w:tcPr>
          <w:p>
            <w:pPr>
              <w:ind w:firstLine="210" w:firstLineChars="100"/>
            </w:pPr>
            <w:r>
              <w:t>5</w:t>
            </w:r>
            <w:r>
              <w:rPr>
                <w:rFonts w:hint="eastAsia"/>
              </w:rPr>
              <w:t>分</w:t>
            </w:r>
          </w:p>
        </w:tc>
        <w:tc>
          <w:tcPr>
            <w:tcW w:w="2863" w:type="dxa"/>
            <w:vMerge w:val="restart"/>
            <w:vAlign w:val="center"/>
          </w:tcPr>
          <w:p>
            <w:pPr>
              <w:rPr>
                <w:sz w:val="18"/>
                <w:szCs w:val="18"/>
              </w:rPr>
            </w:pPr>
            <w:r>
              <w:rPr>
                <w:rFonts w:hint="eastAsia" w:ascii="宋体" w:hAnsi="宋体" w:eastAsia="宋体" w:cs="宋体"/>
                <w:szCs w:val="21"/>
              </w:rPr>
              <w:t>经考核合格方可加分。按最高职务计分1次。</w:t>
            </w:r>
          </w:p>
        </w:tc>
        <w:tc>
          <w:tcPr>
            <w:tcW w:w="963" w:type="dxa"/>
            <w:vMerge w:val="restart"/>
            <w:vAlign w:val="center"/>
          </w:tcPr>
          <w:p>
            <w:pPr>
              <w:rPr>
                <w:sz w:val="18"/>
                <w:szCs w:val="18"/>
              </w:rPr>
            </w:pPr>
            <w:r>
              <w:rPr>
                <w:rFonts w:hint="eastAsia" w:ascii="黑体" w:hAnsi="黑体" w:eastAsia="黑体"/>
                <w:color w:val="FF0000"/>
                <w:sz w:val="20"/>
              </w:rPr>
              <w:t>本两栏累计计分不超过10分</w:t>
            </w:r>
          </w:p>
        </w:tc>
      </w:tr>
      <w:tr>
        <w:tblPrEx>
          <w:tblLayout w:type="fixed"/>
          <w:tblCellMar>
            <w:top w:w="0" w:type="dxa"/>
            <w:left w:w="108" w:type="dxa"/>
            <w:bottom w:w="0" w:type="dxa"/>
            <w:right w:w="108" w:type="dxa"/>
          </w:tblCellMar>
        </w:tblPrEx>
        <w:trPr>
          <w:trHeight w:val="122" w:hRule="atLeast"/>
        </w:trPr>
        <w:tc>
          <w:tcPr>
            <w:tcW w:w="814" w:type="dxa"/>
            <w:vMerge w:val="continue"/>
            <w:vAlign w:val="center"/>
          </w:tcPr>
          <w:p>
            <w:pPr>
              <w:ind w:left="-34"/>
              <w:jc w:val="center"/>
              <w:rPr>
                <w:b/>
              </w:rPr>
            </w:pPr>
          </w:p>
        </w:tc>
        <w:tc>
          <w:tcPr>
            <w:tcW w:w="3404" w:type="dxa"/>
            <w:gridSpan w:val="7"/>
            <w:vAlign w:val="center"/>
          </w:tcPr>
          <w:p>
            <w:pPr>
              <w:rPr>
                <w:sz w:val="18"/>
                <w:szCs w:val="18"/>
              </w:rPr>
            </w:pPr>
            <w:r>
              <w:rPr>
                <w:rFonts w:hint="eastAsia"/>
                <w:sz w:val="18"/>
                <w:szCs w:val="18"/>
              </w:rPr>
              <w:t>担任班委、研究生会干事、理论社团主要骨干等职务</w:t>
            </w:r>
          </w:p>
        </w:tc>
        <w:tc>
          <w:tcPr>
            <w:tcW w:w="1136" w:type="dxa"/>
            <w:vAlign w:val="center"/>
          </w:tcPr>
          <w:p>
            <w:pPr>
              <w:ind w:firstLine="210" w:firstLineChars="100"/>
            </w:pPr>
            <w:r>
              <w:t>2</w:t>
            </w:r>
            <w:r>
              <w:rPr>
                <w:rFonts w:hint="eastAsia"/>
              </w:rPr>
              <w:t>分</w:t>
            </w:r>
          </w:p>
        </w:tc>
        <w:tc>
          <w:tcPr>
            <w:tcW w:w="2863" w:type="dxa"/>
            <w:vMerge w:val="continue"/>
            <w:vAlign w:val="center"/>
          </w:tcPr>
          <w:p>
            <w:pPr>
              <w:rPr>
                <w:sz w:val="18"/>
                <w:szCs w:val="18"/>
              </w:rPr>
            </w:pPr>
          </w:p>
        </w:tc>
        <w:tc>
          <w:tcPr>
            <w:tcW w:w="963"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4" w:type="dxa"/>
            <w:vMerge w:val="restart"/>
            <w:vAlign w:val="center"/>
          </w:tcPr>
          <w:p>
            <w:pPr>
              <w:ind w:left="-34"/>
              <w:jc w:val="center"/>
              <w:rPr>
                <w:b/>
              </w:rPr>
            </w:pPr>
            <w:r>
              <w:rPr>
                <w:rFonts w:hint="eastAsia"/>
                <w:b/>
              </w:rPr>
              <w:t>其他</w:t>
            </w:r>
          </w:p>
        </w:tc>
        <w:tc>
          <w:tcPr>
            <w:tcW w:w="1702" w:type="dxa"/>
            <w:gridSpan w:val="3"/>
            <w:vMerge w:val="restart"/>
            <w:vAlign w:val="center"/>
          </w:tcPr>
          <w:p>
            <w:pPr>
              <w:jc w:val="center"/>
              <w:rPr>
                <w:sz w:val="18"/>
                <w:szCs w:val="18"/>
              </w:rPr>
            </w:pPr>
            <w:r>
              <w:rPr>
                <w:rFonts w:hint="eastAsia"/>
                <w:sz w:val="18"/>
                <w:szCs w:val="18"/>
              </w:rPr>
              <w:t>参加社会实践</w:t>
            </w:r>
          </w:p>
        </w:tc>
        <w:tc>
          <w:tcPr>
            <w:tcW w:w="1702" w:type="dxa"/>
            <w:gridSpan w:val="4"/>
            <w:vAlign w:val="center"/>
          </w:tcPr>
          <w:p>
            <w:pPr>
              <w:jc w:val="center"/>
              <w:rPr>
                <w:sz w:val="18"/>
                <w:szCs w:val="18"/>
              </w:rPr>
            </w:pPr>
            <w:r>
              <w:rPr>
                <w:rFonts w:hint="eastAsia"/>
                <w:sz w:val="18"/>
                <w:szCs w:val="18"/>
              </w:rPr>
              <w:t>团队负责人</w:t>
            </w:r>
          </w:p>
        </w:tc>
        <w:tc>
          <w:tcPr>
            <w:tcW w:w="1136" w:type="dxa"/>
            <w:vAlign w:val="center"/>
          </w:tcPr>
          <w:p>
            <w:pPr>
              <w:ind w:firstLine="210" w:firstLineChars="100"/>
            </w:pPr>
            <w:r>
              <w:t>3</w:t>
            </w:r>
            <w:r>
              <w:rPr>
                <w:rFonts w:hint="eastAsia"/>
              </w:rPr>
              <w:t>分/项</w:t>
            </w:r>
          </w:p>
        </w:tc>
        <w:tc>
          <w:tcPr>
            <w:tcW w:w="2863" w:type="dxa"/>
            <w:vMerge w:val="restart"/>
            <w:vAlign w:val="center"/>
          </w:tcPr>
          <w:p>
            <w:pPr>
              <w:rPr>
                <w:szCs w:val="21"/>
              </w:rPr>
            </w:pPr>
            <w:r>
              <w:rPr>
                <w:rFonts w:hint="eastAsia"/>
                <w:sz w:val="20"/>
                <w:szCs w:val="21"/>
              </w:rPr>
              <w:t>参加研工部“知行南开”、校团委等组织的集体的暑期社会实践，并获得校级及以上奖励。</w:t>
            </w:r>
          </w:p>
        </w:tc>
        <w:tc>
          <w:tcPr>
            <w:tcW w:w="963" w:type="dxa"/>
            <w:vMerge w:val="continue"/>
            <w:vAlign w:val="center"/>
          </w:tcPr>
          <w:p>
            <w:pPr>
              <w:rPr>
                <w:szCs w:val="21"/>
              </w:rPr>
            </w:pPr>
          </w:p>
        </w:tc>
      </w:tr>
      <w:tr>
        <w:tblPrEx>
          <w:tblLayout w:type="fixed"/>
          <w:tblCellMar>
            <w:top w:w="0" w:type="dxa"/>
            <w:left w:w="108" w:type="dxa"/>
            <w:bottom w:w="0" w:type="dxa"/>
            <w:right w:w="108" w:type="dxa"/>
          </w:tblCellMar>
        </w:tblPrEx>
        <w:trPr>
          <w:trHeight w:val="122" w:hRule="atLeast"/>
        </w:trPr>
        <w:tc>
          <w:tcPr>
            <w:tcW w:w="814" w:type="dxa"/>
            <w:vMerge w:val="continue"/>
            <w:vAlign w:val="center"/>
          </w:tcPr>
          <w:p>
            <w:pPr>
              <w:ind w:left="-34"/>
              <w:jc w:val="center"/>
              <w:rPr>
                <w:b/>
              </w:rPr>
            </w:pPr>
          </w:p>
        </w:tc>
        <w:tc>
          <w:tcPr>
            <w:tcW w:w="1702" w:type="dxa"/>
            <w:gridSpan w:val="3"/>
            <w:vMerge w:val="continue"/>
          </w:tcPr>
          <w:p>
            <w:pPr>
              <w:jc w:val="center"/>
              <w:rPr>
                <w:sz w:val="18"/>
                <w:szCs w:val="18"/>
              </w:rPr>
            </w:pPr>
          </w:p>
        </w:tc>
        <w:tc>
          <w:tcPr>
            <w:tcW w:w="1702" w:type="dxa"/>
            <w:gridSpan w:val="4"/>
            <w:vAlign w:val="center"/>
          </w:tcPr>
          <w:p>
            <w:pPr>
              <w:jc w:val="center"/>
              <w:rPr>
                <w:sz w:val="18"/>
                <w:szCs w:val="18"/>
              </w:rPr>
            </w:pPr>
            <w:r>
              <w:rPr>
                <w:rFonts w:hint="eastAsia"/>
                <w:sz w:val="18"/>
                <w:szCs w:val="18"/>
              </w:rPr>
              <w:t>团队成员</w:t>
            </w:r>
          </w:p>
        </w:tc>
        <w:tc>
          <w:tcPr>
            <w:tcW w:w="1136" w:type="dxa"/>
            <w:vAlign w:val="center"/>
          </w:tcPr>
          <w:p>
            <w:pPr>
              <w:ind w:firstLine="210" w:firstLineChars="100"/>
            </w:pPr>
            <w:r>
              <w:rPr>
                <w:rFonts w:hint="eastAsia"/>
              </w:rPr>
              <w:t>1分/项</w:t>
            </w:r>
          </w:p>
        </w:tc>
        <w:tc>
          <w:tcPr>
            <w:tcW w:w="2863" w:type="dxa"/>
            <w:vMerge w:val="continue"/>
            <w:vAlign w:val="center"/>
          </w:tcPr>
          <w:p>
            <w:pPr>
              <w:rPr>
                <w:sz w:val="18"/>
                <w:szCs w:val="18"/>
              </w:rPr>
            </w:pPr>
          </w:p>
        </w:tc>
        <w:tc>
          <w:tcPr>
            <w:tcW w:w="963"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814" w:type="dxa"/>
            <w:vMerge w:val="continue"/>
          </w:tcPr>
          <w:p>
            <w:pPr>
              <w:jc w:val="center"/>
            </w:pPr>
          </w:p>
        </w:tc>
        <w:tc>
          <w:tcPr>
            <w:tcW w:w="1702" w:type="dxa"/>
            <w:gridSpan w:val="3"/>
            <w:vMerge w:val="restart"/>
            <w:vAlign w:val="center"/>
          </w:tcPr>
          <w:p>
            <w:pPr>
              <w:jc w:val="center"/>
              <w:rPr>
                <w:sz w:val="18"/>
                <w:szCs w:val="18"/>
              </w:rPr>
            </w:pPr>
            <w:r>
              <w:rPr>
                <w:rFonts w:hint="eastAsia"/>
                <w:sz w:val="18"/>
                <w:szCs w:val="18"/>
              </w:rPr>
              <w:t>参加体质测试</w:t>
            </w:r>
          </w:p>
        </w:tc>
        <w:tc>
          <w:tcPr>
            <w:tcW w:w="1702" w:type="dxa"/>
            <w:gridSpan w:val="4"/>
            <w:vAlign w:val="center"/>
          </w:tcPr>
          <w:p>
            <w:pPr>
              <w:jc w:val="center"/>
              <w:rPr>
                <w:sz w:val="18"/>
                <w:szCs w:val="18"/>
              </w:rPr>
            </w:pPr>
            <w:r>
              <w:rPr>
                <w:rFonts w:hint="eastAsia"/>
                <w:sz w:val="18"/>
                <w:szCs w:val="18"/>
              </w:rPr>
              <w:t>优秀</w:t>
            </w:r>
          </w:p>
        </w:tc>
        <w:tc>
          <w:tcPr>
            <w:tcW w:w="1136" w:type="dxa"/>
            <w:vAlign w:val="center"/>
          </w:tcPr>
          <w:p>
            <w:pPr>
              <w:ind w:firstLine="210" w:firstLineChars="100"/>
            </w:pPr>
            <w:r>
              <w:t>2</w:t>
            </w:r>
            <w:r>
              <w:rPr>
                <w:rFonts w:hint="eastAsia"/>
              </w:rPr>
              <w:t>分</w:t>
            </w:r>
          </w:p>
        </w:tc>
        <w:tc>
          <w:tcPr>
            <w:tcW w:w="2863" w:type="dxa"/>
            <w:vMerge w:val="restart"/>
            <w:vAlign w:val="center"/>
          </w:tcPr>
          <w:p>
            <w:pPr>
              <w:rPr>
                <w:sz w:val="18"/>
                <w:szCs w:val="18"/>
              </w:rPr>
            </w:pPr>
          </w:p>
        </w:tc>
        <w:tc>
          <w:tcPr>
            <w:tcW w:w="963"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814" w:type="dxa"/>
            <w:vMerge w:val="continue"/>
          </w:tcPr>
          <w:p>
            <w:pPr>
              <w:jc w:val="center"/>
            </w:pPr>
          </w:p>
        </w:tc>
        <w:tc>
          <w:tcPr>
            <w:tcW w:w="1702" w:type="dxa"/>
            <w:gridSpan w:val="3"/>
            <w:vMerge w:val="continue"/>
            <w:vAlign w:val="center"/>
          </w:tcPr>
          <w:p>
            <w:pPr>
              <w:rPr>
                <w:sz w:val="18"/>
                <w:szCs w:val="18"/>
              </w:rPr>
            </w:pPr>
          </w:p>
        </w:tc>
        <w:tc>
          <w:tcPr>
            <w:tcW w:w="1702" w:type="dxa"/>
            <w:gridSpan w:val="4"/>
            <w:vAlign w:val="center"/>
          </w:tcPr>
          <w:p>
            <w:pPr>
              <w:jc w:val="center"/>
              <w:rPr>
                <w:sz w:val="18"/>
                <w:szCs w:val="18"/>
              </w:rPr>
            </w:pPr>
            <w:r>
              <w:rPr>
                <w:rFonts w:hint="eastAsia"/>
                <w:sz w:val="18"/>
                <w:szCs w:val="18"/>
              </w:rPr>
              <w:t>合格</w:t>
            </w:r>
          </w:p>
        </w:tc>
        <w:tc>
          <w:tcPr>
            <w:tcW w:w="1136" w:type="dxa"/>
            <w:vAlign w:val="center"/>
          </w:tcPr>
          <w:p>
            <w:pPr>
              <w:ind w:firstLine="210" w:firstLineChars="100"/>
            </w:pPr>
            <w:r>
              <w:t>1</w:t>
            </w:r>
            <w:r>
              <w:rPr>
                <w:rFonts w:hint="eastAsia"/>
              </w:rPr>
              <w:t>分</w:t>
            </w:r>
          </w:p>
        </w:tc>
        <w:tc>
          <w:tcPr>
            <w:tcW w:w="2863" w:type="dxa"/>
            <w:vMerge w:val="continue"/>
            <w:vAlign w:val="center"/>
          </w:tcPr>
          <w:p>
            <w:pPr>
              <w:rPr>
                <w:sz w:val="18"/>
                <w:szCs w:val="18"/>
              </w:rPr>
            </w:pPr>
          </w:p>
        </w:tc>
        <w:tc>
          <w:tcPr>
            <w:tcW w:w="963" w:type="dxa"/>
            <w:vMerge w:val="continue"/>
            <w:vAlign w:val="center"/>
          </w:tcPr>
          <w:p>
            <w:pPr>
              <w:rPr>
                <w:sz w:val="18"/>
                <w:szCs w:val="18"/>
              </w:rPr>
            </w:pPr>
          </w:p>
        </w:tc>
      </w:tr>
      <w:tr>
        <w:tblPrEx>
          <w:tblLayout w:type="fixed"/>
          <w:tblCellMar>
            <w:top w:w="0" w:type="dxa"/>
            <w:left w:w="108" w:type="dxa"/>
            <w:bottom w:w="0" w:type="dxa"/>
            <w:right w:w="108" w:type="dxa"/>
          </w:tblCellMar>
        </w:tblPrEx>
        <w:trPr>
          <w:trHeight w:val="671" w:hRule="atLeast"/>
        </w:trPr>
        <w:tc>
          <w:tcPr>
            <w:tcW w:w="814" w:type="dxa"/>
            <w:vMerge w:val="continue"/>
          </w:tcPr>
          <w:p>
            <w:pPr>
              <w:jc w:val="center"/>
            </w:pPr>
          </w:p>
        </w:tc>
        <w:tc>
          <w:tcPr>
            <w:tcW w:w="1702" w:type="dxa"/>
            <w:gridSpan w:val="3"/>
            <w:vAlign w:val="center"/>
          </w:tcPr>
          <w:p>
            <w:pPr>
              <w:jc w:val="center"/>
              <w:rPr>
                <w:sz w:val="18"/>
                <w:szCs w:val="18"/>
              </w:rPr>
            </w:pPr>
            <w:r>
              <w:rPr>
                <w:rFonts w:hint="eastAsia"/>
                <w:sz w:val="18"/>
                <w:szCs w:val="18"/>
              </w:rPr>
              <w:t>各类荣誉</w:t>
            </w:r>
          </w:p>
        </w:tc>
        <w:tc>
          <w:tcPr>
            <w:tcW w:w="1702" w:type="dxa"/>
            <w:gridSpan w:val="4"/>
            <w:vAlign w:val="center"/>
          </w:tcPr>
          <w:p>
            <w:pPr>
              <w:jc w:val="center"/>
              <w:rPr>
                <w:sz w:val="18"/>
                <w:szCs w:val="18"/>
              </w:rPr>
            </w:pPr>
            <w:r>
              <w:rPr>
                <w:rFonts w:hint="eastAsia"/>
                <w:sz w:val="18"/>
                <w:szCs w:val="18"/>
              </w:rPr>
              <w:t>省部级以上</w:t>
            </w:r>
          </w:p>
        </w:tc>
        <w:tc>
          <w:tcPr>
            <w:tcW w:w="1136" w:type="dxa"/>
            <w:vAlign w:val="center"/>
          </w:tcPr>
          <w:p>
            <w:pPr>
              <w:ind w:firstLine="210" w:firstLineChars="100"/>
            </w:pPr>
            <w:r>
              <w:t>3</w:t>
            </w:r>
            <w:r>
              <w:rPr>
                <w:rFonts w:hint="eastAsia"/>
              </w:rPr>
              <w:t>分/项</w:t>
            </w:r>
          </w:p>
        </w:tc>
        <w:tc>
          <w:tcPr>
            <w:tcW w:w="2863" w:type="dxa"/>
            <w:vAlign w:val="center"/>
          </w:tcPr>
          <w:p>
            <w:pPr>
              <w:rPr>
                <w:rFonts w:asciiTheme="minorEastAsia" w:hAnsiTheme="minorEastAsia"/>
                <w:szCs w:val="21"/>
              </w:rPr>
            </w:pPr>
            <w:r>
              <w:rPr>
                <w:rFonts w:hint="eastAsia" w:asciiTheme="minorEastAsia" w:hAnsiTheme="minorEastAsia"/>
                <w:szCs w:val="21"/>
              </w:rPr>
              <w:t>可以累加，</w:t>
            </w:r>
            <w:r>
              <w:rPr>
                <w:rFonts w:asciiTheme="minorEastAsia" w:hAnsiTheme="minorEastAsia"/>
                <w:szCs w:val="21"/>
              </w:rPr>
              <w:t>6</w:t>
            </w:r>
            <w:r>
              <w:rPr>
                <w:rFonts w:hint="eastAsia" w:asciiTheme="minorEastAsia" w:hAnsiTheme="minorEastAsia"/>
                <w:szCs w:val="21"/>
              </w:rPr>
              <w:t>分封顶。</w:t>
            </w:r>
          </w:p>
        </w:tc>
        <w:tc>
          <w:tcPr>
            <w:tcW w:w="963" w:type="dxa"/>
            <w:vMerge w:val="continue"/>
            <w:vAlign w:val="center"/>
          </w:tcPr>
          <w:p>
            <w:pPr>
              <w:rPr>
                <w:rFonts w:asciiTheme="minorEastAsia" w:hAnsiTheme="minorEastAsia"/>
                <w:szCs w:val="21"/>
              </w:rPr>
            </w:pPr>
          </w:p>
        </w:tc>
      </w:tr>
    </w:tbl>
    <w:p>
      <w:pPr>
        <w:jc w:val="left"/>
        <w:rPr>
          <w:rFonts w:ascii="黑体" w:hAnsi="黑体" w:eastAsia="黑体"/>
          <w:sz w:val="24"/>
          <w:szCs w:val="24"/>
        </w:rPr>
      </w:pPr>
    </w:p>
    <w:p/>
    <w:p>
      <w:pPr>
        <w:rPr>
          <w:b/>
        </w:rPr>
      </w:pPr>
    </w:p>
    <w:p>
      <w:pPr>
        <w:widowControl/>
        <w:jc w:val="left"/>
        <w:rPr>
          <w:b/>
        </w:rPr>
      </w:pPr>
      <w:r>
        <w:rPr>
          <w:b/>
        </w:rPr>
        <w:br w:type="page"/>
      </w:r>
    </w:p>
    <w:p>
      <w:pPr>
        <w:jc w:val="center"/>
        <w:outlineLvl w:val="0"/>
        <w:rPr>
          <w:rFonts w:ascii="黑体" w:hAnsi="黑体" w:eastAsia="黑体"/>
          <w:sz w:val="30"/>
          <w:szCs w:val="30"/>
        </w:rPr>
      </w:pPr>
      <w:r>
        <w:rPr>
          <w:rFonts w:hint="eastAsia" w:ascii="黑体" w:hAnsi="黑体" w:eastAsia="黑体"/>
          <w:sz w:val="30"/>
          <w:szCs w:val="30"/>
        </w:rPr>
        <w:t>马克思主义学院博士研究生奖学金评审计分细则3.</w:t>
      </w:r>
      <w:r>
        <w:rPr>
          <w:rFonts w:hint="eastAsia" w:ascii="黑体" w:hAnsi="黑体" w:eastAsia="黑体"/>
          <w:sz w:val="30"/>
          <w:szCs w:val="30"/>
          <w:lang w:val="en-US" w:eastAsia="zh-CN"/>
        </w:rPr>
        <w:t>1</w:t>
      </w:r>
      <w:bookmarkStart w:id="0" w:name="_GoBack"/>
      <w:bookmarkEnd w:id="0"/>
      <w:r>
        <w:rPr>
          <w:rFonts w:hint="eastAsia" w:ascii="黑体" w:hAnsi="黑体" w:eastAsia="黑体"/>
          <w:sz w:val="30"/>
          <w:szCs w:val="30"/>
        </w:rPr>
        <w:t>版本</w:t>
      </w:r>
    </w:p>
    <w:tbl>
      <w:tblPr>
        <w:tblStyle w:val="5"/>
        <w:tblW w:w="918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66"/>
        <w:gridCol w:w="571"/>
        <w:gridCol w:w="565"/>
        <w:gridCol w:w="130"/>
        <w:gridCol w:w="519"/>
        <w:gridCol w:w="768"/>
        <w:gridCol w:w="285"/>
        <w:gridCol w:w="1305"/>
        <w:gridCol w:w="2694"/>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4" w:type="dxa"/>
            <w:tcBorders>
              <w:top w:val="single" w:color="auto" w:sz="4" w:space="0"/>
              <w:left w:val="single" w:color="auto" w:sz="4" w:space="0"/>
              <w:bottom w:val="single" w:color="auto" w:sz="4" w:space="0"/>
              <w:right w:val="single" w:color="auto" w:sz="4" w:space="0"/>
            </w:tcBorders>
            <w:vAlign w:val="center"/>
          </w:tcPr>
          <w:p>
            <w:pPr>
              <w:ind w:left="-34"/>
              <w:jc w:val="center"/>
              <w:rPr>
                <w:b/>
                <w:sz w:val="24"/>
                <w:szCs w:val="24"/>
              </w:rPr>
            </w:pPr>
            <w:r>
              <w:rPr>
                <w:rFonts w:hint="eastAsia"/>
                <w:b/>
                <w:sz w:val="24"/>
                <w:szCs w:val="24"/>
              </w:rPr>
              <w:t>分类</w:t>
            </w:r>
          </w:p>
        </w:tc>
        <w:tc>
          <w:tcPr>
            <w:tcW w:w="3404" w:type="dxa"/>
            <w:gridSpan w:val="7"/>
            <w:tcBorders>
              <w:top w:val="single" w:color="auto" w:sz="4" w:space="0"/>
              <w:left w:val="single" w:color="auto" w:sz="4" w:space="0"/>
              <w:bottom w:val="single" w:color="auto" w:sz="4" w:space="0"/>
              <w:right w:val="single" w:color="auto" w:sz="4" w:space="0"/>
            </w:tcBorders>
            <w:vAlign w:val="center"/>
          </w:tcPr>
          <w:p>
            <w:pPr>
              <w:ind w:left="-34"/>
              <w:jc w:val="center"/>
              <w:rPr>
                <w:b/>
                <w:sz w:val="24"/>
                <w:szCs w:val="24"/>
              </w:rPr>
            </w:pPr>
            <w:r>
              <w:rPr>
                <w:rFonts w:hint="eastAsia"/>
                <w:b/>
                <w:sz w:val="24"/>
                <w:szCs w:val="24"/>
              </w:rPr>
              <w:t>具体项目细则</w:t>
            </w:r>
          </w:p>
        </w:tc>
        <w:tc>
          <w:tcPr>
            <w:tcW w:w="1305" w:type="dxa"/>
            <w:tcBorders>
              <w:top w:val="single" w:color="auto" w:sz="4" w:space="0"/>
              <w:left w:val="single" w:color="auto" w:sz="4" w:space="0"/>
              <w:bottom w:val="single" w:color="auto" w:sz="4" w:space="0"/>
              <w:right w:val="single" w:color="auto" w:sz="4" w:space="0"/>
            </w:tcBorders>
            <w:vAlign w:val="center"/>
          </w:tcPr>
          <w:p>
            <w:pPr>
              <w:ind w:left="-34"/>
              <w:jc w:val="center"/>
              <w:rPr>
                <w:b/>
                <w:sz w:val="24"/>
                <w:szCs w:val="24"/>
              </w:rPr>
            </w:pPr>
            <w:r>
              <w:rPr>
                <w:rFonts w:hint="eastAsia"/>
                <w:b/>
                <w:sz w:val="24"/>
                <w:szCs w:val="24"/>
              </w:rPr>
              <w:t>分值</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ind w:left="-34"/>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4" w:type="dxa"/>
            <w:tcBorders>
              <w:top w:val="single" w:color="auto" w:sz="4" w:space="0"/>
              <w:left w:val="single" w:color="auto" w:sz="4" w:space="0"/>
              <w:bottom w:val="single" w:color="auto" w:sz="4" w:space="0"/>
              <w:right w:val="single" w:color="auto" w:sz="4" w:space="0"/>
            </w:tcBorders>
            <w:vAlign w:val="center"/>
          </w:tcPr>
          <w:p>
            <w:pPr>
              <w:ind w:left="-34"/>
              <w:jc w:val="center"/>
              <w:rPr>
                <w:b/>
                <w:sz w:val="24"/>
                <w:szCs w:val="24"/>
              </w:rPr>
            </w:pPr>
            <w:r>
              <w:rPr>
                <w:rFonts w:hint="eastAsia"/>
                <w:b/>
                <w:sz w:val="24"/>
                <w:szCs w:val="24"/>
              </w:rPr>
              <w:t>学习成绩</w:t>
            </w:r>
          </w:p>
        </w:tc>
        <w:tc>
          <w:tcPr>
            <w:tcW w:w="3404" w:type="dxa"/>
            <w:gridSpan w:val="7"/>
            <w:tcBorders>
              <w:top w:val="single" w:color="auto" w:sz="4" w:space="0"/>
              <w:left w:val="single" w:color="auto" w:sz="4" w:space="0"/>
              <w:bottom w:val="single" w:color="auto" w:sz="4" w:space="0"/>
              <w:right w:val="single" w:color="auto" w:sz="4" w:space="0"/>
            </w:tcBorders>
            <w:vAlign w:val="center"/>
          </w:tcPr>
          <w:p>
            <w:pPr>
              <w:ind w:left="-34"/>
              <w:jc w:val="center"/>
              <w:rPr>
                <w:b/>
                <w:sz w:val="24"/>
                <w:szCs w:val="24"/>
              </w:rPr>
            </w:pPr>
            <w:r>
              <w:rPr>
                <w:rFonts w:hint="eastAsia"/>
                <w:b/>
                <w:sz w:val="24"/>
                <w:szCs w:val="24"/>
              </w:rPr>
              <w:t>通过所有课程</w:t>
            </w:r>
          </w:p>
        </w:tc>
        <w:tc>
          <w:tcPr>
            <w:tcW w:w="1305" w:type="dxa"/>
            <w:tcBorders>
              <w:top w:val="single" w:color="auto" w:sz="4" w:space="0"/>
              <w:left w:val="single" w:color="auto" w:sz="4" w:space="0"/>
              <w:bottom w:val="single" w:color="auto" w:sz="4" w:space="0"/>
              <w:right w:val="single" w:color="auto" w:sz="4" w:space="0"/>
            </w:tcBorders>
            <w:vAlign w:val="center"/>
          </w:tcPr>
          <w:p>
            <w:pPr>
              <w:ind w:left="-34"/>
              <w:jc w:val="center"/>
              <w:rPr>
                <w:rFonts w:ascii="黑体" w:hAnsi="黑体" w:eastAsia="黑体"/>
                <w:color w:val="FF0000"/>
              </w:rPr>
            </w:pPr>
            <w:r>
              <w:rPr>
                <w:rFonts w:hint="eastAsia" w:ascii="黑体" w:hAnsi="黑体" w:eastAsia="黑体"/>
                <w:color w:val="FF0000"/>
              </w:rPr>
              <w:t>不计分</w:t>
            </w:r>
          </w:p>
        </w:tc>
        <w:tc>
          <w:tcPr>
            <w:tcW w:w="3657" w:type="dxa"/>
            <w:gridSpan w:val="2"/>
            <w:tcBorders>
              <w:top w:val="single" w:color="auto" w:sz="4" w:space="0"/>
              <w:left w:val="single" w:color="auto" w:sz="4" w:space="0"/>
              <w:bottom w:val="single" w:color="auto" w:sz="4" w:space="0"/>
              <w:right w:val="single" w:color="auto" w:sz="4" w:space="0"/>
            </w:tcBorders>
            <w:vAlign w:val="center"/>
          </w:tcPr>
          <w:p>
            <w:pPr>
              <w:ind w:left="-34"/>
              <w:jc w:val="left"/>
              <w:rPr>
                <w:b/>
                <w:sz w:val="24"/>
                <w:szCs w:val="24"/>
              </w:rPr>
            </w:pPr>
            <w:r>
              <w:rPr>
                <w:rFonts w:hint="eastAsia"/>
                <w:sz w:val="20"/>
              </w:rPr>
              <w:t>如有不及格科目，则失去该年度评选奖学金资格。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14" w:type="dxa"/>
            <w:vMerge w:val="restart"/>
            <w:vAlign w:val="center"/>
          </w:tcPr>
          <w:p>
            <w:pPr>
              <w:ind w:left="-34"/>
              <w:jc w:val="center"/>
              <w:rPr>
                <w:b/>
              </w:rPr>
            </w:pPr>
            <w:r>
              <w:rPr>
                <w:rFonts w:hint="eastAsia"/>
                <w:b/>
              </w:rPr>
              <w:t>科研</w:t>
            </w:r>
          </w:p>
          <w:p>
            <w:pPr>
              <w:ind w:left="-34"/>
              <w:jc w:val="center"/>
              <w:rPr>
                <w:b/>
              </w:rPr>
            </w:pPr>
            <w:r>
              <w:rPr>
                <w:rFonts w:hint="eastAsia"/>
                <w:b/>
              </w:rPr>
              <w:t>能力</w:t>
            </w:r>
          </w:p>
        </w:tc>
        <w:tc>
          <w:tcPr>
            <w:tcW w:w="1137" w:type="dxa"/>
            <w:gridSpan w:val="2"/>
            <w:vMerge w:val="restart"/>
            <w:vAlign w:val="center"/>
          </w:tcPr>
          <w:p>
            <w:pPr>
              <w:jc w:val="center"/>
            </w:pPr>
            <w:r>
              <w:rPr>
                <w:rFonts w:hint="eastAsia"/>
              </w:rPr>
              <w:t>著作</w:t>
            </w:r>
          </w:p>
        </w:tc>
        <w:tc>
          <w:tcPr>
            <w:tcW w:w="2267" w:type="dxa"/>
            <w:gridSpan w:val="5"/>
            <w:vAlign w:val="center"/>
          </w:tcPr>
          <w:p>
            <w:pPr>
              <w:ind w:left="-34"/>
              <w:jc w:val="center"/>
            </w:pPr>
            <w:r>
              <w:rPr>
                <w:rFonts w:hint="eastAsia"/>
              </w:rPr>
              <w:t>独立完成或</w:t>
            </w:r>
            <w:r>
              <w:t>第一作者</w:t>
            </w:r>
          </w:p>
        </w:tc>
        <w:tc>
          <w:tcPr>
            <w:tcW w:w="1305" w:type="dxa"/>
            <w:vAlign w:val="center"/>
          </w:tcPr>
          <w:p>
            <w:pPr>
              <w:ind w:left="-34"/>
              <w:jc w:val="center"/>
              <w:rPr>
                <w:rFonts w:ascii="黑体" w:hAnsi="黑体" w:eastAsia="黑体"/>
                <w:color w:val="FF0000"/>
              </w:rPr>
            </w:pPr>
            <w:r>
              <w:rPr>
                <w:rFonts w:ascii="黑体" w:hAnsi="黑体" w:eastAsia="黑体"/>
                <w:color w:val="FF0000"/>
              </w:rPr>
              <w:t>4</w:t>
            </w:r>
            <w:r>
              <w:rPr>
                <w:rFonts w:hint="eastAsia" w:ascii="黑体" w:hAnsi="黑体" w:eastAsia="黑体"/>
                <w:color w:val="FF0000"/>
              </w:rPr>
              <w:t>分/万字</w:t>
            </w:r>
          </w:p>
        </w:tc>
        <w:tc>
          <w:tcPr>
            <w:tcW w:w="3657" w:type="dxa"/>
            <w:gridSpan w:val="2"/>
            <w:vMerge w:val="restart"/>
            <w:vAlign w:val="center"/>
          </w:tcPr>
          <w:p>
            <w:pPr>
              <w:ind w:left="-34" w:firstLine="420" w:firstLineChars="200"/>
            </w:pPr>
            <w:r>
              <w:rPr>
                <w:rFonts w:hint="eastAsia"/>
              </w:rPr>
              <w:t>按照所承担部分字数进行测算，需要相关证明。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814" w:type="dxa"/>
            <w:vMerge w:val="continue"/>
            <w:vAlign w:val="center"/>
          </w:tcPr>
          <w:p>
            <w:pPr>
              <w:ind w:left="-34"/>
              <w:jc w:val="center"/>
              <w:rPr>
                <w:b/>
              </w:rPr>
            </w:pPr>
          </w:p>
        </w:tc>
        <w:tc>
          <w:tcPr>
            <w:tcW w:w="1137" w:type="dxa"/>
            <w:gridSpan w:val="2"/>
            <w:vMerge w:val="continue"/>
            <w:vAlign w:val="center"/>
          </w:tcPr>
          <w:p>
            <w:pPr>
              <w:jc w:val="center"/>
            </w:pPr>
          </w:p>
        </w:tc>
        <w:tc>
          <w:tcPr>
            <w:tcW w:w="2267" w:type="dxa"/>
            <w:gridSpan w:val="5"/>
            <w:vAlign w:val="center"/>
          </w:tcPr>
          <w:p>
            <w:pPr>
              <w:ind w:left="-34"/>
              <w:jc w:val="center"/>
            </w:pPr>
            <w:r>
              <w:rPr>
                <w:rFonts w:hint="eastAsia" w:ascii="黑体" w:hAnsi="黑体" w:eastAsia="黑体"/>
                <w:color w:val="FF0000"/>
              </w:rPr>
              <w:t>独编或译著</w:t>
            </w:r>
          </w:p>
        </w:tc>
        <w:tc>
          <w:tcPr>
            <w:tcW w:w="1305" w:type="dxa"/>
            <w:vAlign w:val="center"/>
          </w:tcPr>
          <w:p>
            <w:pPr>
              <w:ind w:left="-34"/>
              <w:jc w:val="center"/>
              <w:rPr>
                <w:rFonts w:ascii="黑体" w:hAnsi="黑体" w:eastAsia="黑体"/>
                <w:color w:val="FF0000"/>
              </w:rPr>
            </w:pPr>
            <w:r>
              <w:rPr>
                <w:rFonts w:ascii="黑体" w:hAnsi="黑体" w:eastAsia="黑体"/>
                <w:color w:val="FF0000"/>
              </w:rPr>
              <w:t>3</w:t>
            </w:r>
            <w:r>
              <w:rPr>
                <w:rFonts w:hint="eastAsia" w:ascii="黑体" w:hAnsi="黑体" w:eastAsia="黑体"/>
                <w:color w:val="FF0000"/>
              </w:rPr>
              <w:t>分/万字</w:t>
            </w:r>
          </w:p>
        </w:tc>
        <w:tc>
          <w:tcPr>
            <w:tcW w:w="3657" w:type="dxa"/>
            <w:gridSpan w:val="2"/>
            <w:vMerge w:val="continue"/>
            <w:vAlign w:val="center"/>
          </w:tcPr>
          <w:p>
            <w:pPr>
              <w:ind w:left="-3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ind w:left="-34"/>
              <w:jc w:val="center"/>
            </w:pPr>
            <w:r>
              <w:t>参编</w:t>
            </w:r>
            <w:r>
              <w:rPr>
                <w:rFonts w:hint="eastAsia"/>
              </w:rPr>
              <w:t>、其他排序作者</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1</w:t>
            </w:r>
            <w:r>
              <w:rPr>
                <w:rFonts w:ascii="黑体" w:hAnsi="黑体" w:eastAsia="黑体"/>
                <w:color w:val="FF0000"/>
              </w:rPr>
              <w:t>.5</w:t>
            </w:r>
            <w:r>
              <w:rPr>
                <w:rFonts w:hint="eastAsia" w:ascii="黑体" w:hAnsi="黑体" w:eastAsia="黑体"/>
                <w:color w:val="FF0000"/>
              </w:rPr>
              <w:t>分/万字</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14" w:type="dxa"/>
            <w:vMerge w:val="continue"/>
          </w:tcPr>
          <w:p>
            <w:pPr>
              <w:ind w:left="-34"/>
              <w:jc w:val="center"/>
            </w:pPr>
          </w:p>
        </w:tc>
        <w:tc>
          <w:tcPr>
            <w:tcW w:w="566" w:type="dxa"/>
            <w:vMerge w:val="restart"/>
            <w:vAlign w:val="center"/>
          </w:tcPr>
          <w:p>
            <w:pPr>
              <w:ind w:left="-34"/>
              <w:jc w:val="center"/>
            </w:pPr>
            <w:r>
              <w:rPr>
                <w:rFonts w:hint="eastAsia"/>
              </w:rPr>
              <w:t>学术文章</w:t>
            </w:r>
          </w:p>
        </w:tc>
        <w:tc>
          <w:tcPr>
            <w:tcW w:w="1266" w:type="dxa"/>
            <w:gridSpan w:val="3"/>
            <w:vMerge w:val="restart"/>
            <w:vAlign w:val="center"/>
          </w:tcPr>
          <w:p>
            <w:pPr>
              <w:spacing w:line="240" w:lineRule="exact"/>
              <w:rPr>
                <w:b/>
              </w:rPr>
            </w:pPr>
            <w:r>
              <w:rPr>
                <w:rFonts w:hint="eastAsia"/>
                <w:sz w:val="16"/>
              </w:rPr>
              <w:t>《中国</w:t>
            </w:r>
            <w:r>
              <w:rPr>
                <w:sz w:val="16"/>
              </w:rPr>
              <w:t>社会科学</w:t>
            </w:r>
            <w:r>
              <w:rPr>
                <w:rFonts w:hint="eastAsia"/>
                <w:sz w:val="16"/>
              </w:rPr>
              <w:t>》；《求是》杂志</w:t>
            </w:r>
            <w:r>
              <w:rPr>
                <w:sz w:val="16"/>
              </w:rPr>
              <w:t>；</w:t>
            </w:r>
            <w:r>
              <w:rPr>
                <w:rFonts w:hint="eastAsia"/>
                <w:sz w:val="16"/>
              </w:rPr>
              <w:t>一级学科顶尖期刊；新华文摘、中国社会科学文摘、高等学校文科学术文摘转载</w:t>
            </w:r>
          </w:p>
        </w:tc>
        <w:tc>
          <w:tcPr>
            <w:tcW w:w="1572" w:type="dxa"/>
            <w:gridSpan w:val="3"/>
            <w:vAlign w:val="center"/>
          </w:tcPr>
          <w:p>
            <w:pPr>
              <w:jc w:val="center"/>
            </w:pPr>
            <w:r>
              <w:rPr>
                <w:rFonts w:hint="eastAsia"/>
              </w:rPr>
              <w:t>独立</w:t>
            </w:r>
          </w:p>
        </w:tc>
        <w:tc>
          <w:tcPr>
            <w:tcW w:w="1305" w:type="dxa"/>
            <w:vAlign w:val="center"/>
          </w:tcPr>
          <w:p>
            <w:pPr>
              <w:ind w:left="-34"/>
              <w:jc w:val="center"/>
              <w:rPr>
                <w:rFonts w:ascii="黑体" w:hAnsi="黑体" w:eastAsia="黑体"/>
                <w:color w:val="FF0000"/>
              </w:rPr>
            </w:pPr>
            <w:r>
              <w:rPr>
                <w:rFonts w:ascii="黑体" w:hAnsi="黑体" w:eastAsia="黑体"/>
                <w:color w:val="FF0000"/>
              </w:rPr>
              <w:t>100</w:t>
            </w:r>
            <w:r>
              <w:rPr>
                <w:rFonts w:hint="eastAsia" w:ascii="黑体" w:hAnsi="黑体" w:eastAsia="黑体"/>
                <w:color w:val="FF0000"/>
              </w:rPr>
              <w:t>分/篇</w:t>
            </w:r>
          </w:p>
        </w:tc>
        <w:tc>
          <w:tcPr>
            <w:tcW w:w="3657" w:type="dxa"/>
            <w:gridSpan w:val="2"/>
            <w:vMerge w:val="restart"/>
            <w:vAlign w:val="center"/>
          </w:tcPr>
          <w:p>
            <w:pPr>
              <w:adjustRightInd w:val="0"/>
              <w:snapToGrid w:val="0"/>
              <w:rPr>
                <w:rFonts w:ascii="宋体" w:hAnsi="宋体" w:eastAsia="宋体"/>
                <w:b/>
                <w:sz w:val="20"/>
              </w:rPr>
            </w:pPr>
            <w:r>
              <w:rPr>
                <w:rFonts w:hint="eastAsia" w:ascii="宋体" w:hAnsi="宋体" w:eastAsia="宋体"/>
                <w:sz w:val="20"/>
              </w:rPr>
              <w:t>1.顶级期刊参照</w:t>
            </w:r>
            <w:r>
              <w:rPr>
                <w:rFonts w:hint="eastAsia" w:ascii="宋体" w:hAnsi="宋体" w:eastAsia="宋体"/>
                <w:b/>
                <w:sz w:val="20"/>
              </w:rPr>
              <w:t>附件四</w:t>
            </w:r>
            <w:r>
              <w:rPr>
                <w:rFonts w:hint="eastAsia" w:ascii="宋体" w:hAnsi="宋体" w:eastAsia="宋体"/>
                <w:sz w:val="20"/>
              </w:rPr>
              <w:t>：</w:t>
            </w:r>
            <w:r>
              <w:rPr>
                <w:rFonts w:hint="eastAsia" w:ascii="宋体" w:hAnsi="宋体" w:eastAsia="宋体"/>
                <w:b/>
                <w:sz w:val="20"/>
              </w:rPr>
              <w:t>马克思主义学院顶尖学术期刊目录</w:t>
            </w:r>
          </w:p>
          <w:p>
            <w:pPr>
              <w:adjustRightInd w:val="0"/>
              <w:snapToGrid w:val="0"/>
              <w:rPr>
                <w:rFonts w:ascii="宋体" w:hAnsi="宋体" w:eastAsia="宋体"/>
                <w:b/>
                <w:sz w:val="20"/>
              </w:rPr>
            </w:pPr>
            <w:r>
              <w:rPr>
                <w:rFonts w:hint="eastAsia" w:ascii="宋体" w:hAnsi="宋体" w:eastAsia="宋体"/>
                <w:sz w:val="20"/>
              </w:rPr>
              <w:t>2. CSSCI来源期刊、中文核心期刊目录参照</w:t>
            </w:r>
            <w:r>
              <w:rPr>
                <w:rFonts w:hint="eastAsia" w:ascii="宋体" w:hAnsi="宋体" w:eastAsia="宋体"/>
                <w:b/>
                <w:sz w:val="20"/>
              </w:rPr>
              <w:t>附件五：中文核心期刊目录</w:t>
            </w:r>
          </w:p>
          <w:p>
            <w:pPr>
              <w:adjustRightInd w:val="0"/>
              <w:snapToGrid w:val="0"/>
              <w:rPr>
                <w:rFonts w:ascii="宋体" w:hAnsi="宋体" w:eastAsia="宋体"/>
                <w:sz w:val="20"/>
              </w:rPr>
            </w:pPr>
            <w:r>
              <w:rPr>
                <w:rFonts w:hint="eastAsia" w:ascii="宋体" w:hAnsi="宋体" w:eastAsia="宋体"/>
                <w:sz w:val="20"/>
              </w:rPr>
              <w:t>3.同一篇文章只取最高级别加分一次，不累加。</w:t>
            </w:r>
          </w:p>
          <w:p>
            <w:pPr>
              <w:adjustRightInd w:val="0"/>
              <w:snapToGrid w:val="0"/>
              <w:rPr>
                <w:rFonts w:ascii="宋体" w:hAnsi="宋体" w:eastAsia="宋体"/>
                <w:sz w:val="20"/>
              </w:rPr>
            </w:pPr>
            <w:r>
              <w:rPr>
                <w:rFonts w:ascii="宋体" w:hAnsi="宋体" w:eastAsia="宋体"/>
                <w:sz w:val="20"/>
              </w:rPr>
              <w:t>4</w:t>
            </w:r>
            <w:r>
              <w:rPr>
                <w:rFonts w:hint="eastAsia" w:ascii="宋体" w:hAnsi="宋体" w:eastAsia="宋体"/>
                <w:sz w:val="20"/>
              </w:rPr>
              <w:t>.在网站上发表文章、各种评论类文章不在统计范围。</w:t>
            </w:r>
          </w:p>
          <w:p>
            <w:pPr>
              <w:adjustRightInd w:val="0"/>
              <w:snapToGrid w:val="0"/>
              <w:rPr>
                <w:rFonts w:ascii="宋体" w:hAnsi="宋体" w:eastAsia="宋体"/>
                <w:sz w:val="20"/>
              </w:rPr>
            </w:pPr>
            <w:r>
              <w:rPr>
                <w:rFonts w:hint="eastAsia" w:ascii="宋体" w:hAnsi="宋体" w:eastAsia="宋体"/>
                <w:sz w:val="20"/>
              </w:rPr>
              <w:t>5.</w:t>
            </w:r>
            <w:r>
              <w:rPr>
                <w:rFonts w:hint="eastAsia" w:ascii="黑体" w:hAnsi="黑体" w:eastAsia="黑体"/>
                <w:color w:val="FF0000"/>
                <w:sz w:val="20"/>
              </w:rPr>
              <w:t>若与本人导师合作发表文章，学生排名第二可作为第一作者，第三可作为第二作者。若和本院其他老师合作，则比照学生合作确定作者次序。</w:t>
            </w:r>
          </w:p>
          <w:p>
            <w:pPr>
              <w:adjustRightInd w:val="0"/>
              <w:snapToGrid w:val="0"/>
              <w:rPr>
                <w:rFonts w:ascii="宋体" w:hAnsi="宋体" w:eastAsia="宋体"/>
                <w:sz w:val="20"/>
              </w:rPr>
            </w:pPr>
            <w:r>
              <w:rPr>
                <w:rFonts w:ascii="宋体" w:hAnsi="宋体" w:eastAsia="宋体"/>
                <w:sz w:val="20"/>
              </w:rPr>
              <w:t>6.</w:t>
            </w:r>
            <w:r>
              <w:rPr>
                <w:rFonts w:hint="eastAsia" w:ascii="宋体" w:hAnsi="宋体" w:eastAsia="宋体"/>
                <w:sz w:val="20"/>
              </w:rPr>
              <w:t>所发表文章必须署名南开大学马克思主义学院。成果的有效时间一般为上一年度</w:t>
            </w:r>
            <w:r>
              <w:rPr>
                <w:rFonts w:ascii="宋体" w:hAnsi="宋体" w:eastAsia="宋体"/>
                <w:sz w:val="20"/>
              </w:rPr>
              <w:t>10</w:t>
            </w:r>
            <w:r>
              <w:rPr>
                <w:rFonts w:hint="eastAsia" w:ascii="宋体" w:hAnsi="宋体" w:eastAsia="宋体"/>
                <w:sz w:val="20"/>
              </w:rPr>
              <w:t>月1日至本年度9月30日，具体截止时间根据每年最终发布申报通知的时间相应微调。</w:t>
            </w:r>
          </w:p>
          <w:p>
            <w:pPr>
              <w:adjustRightInd w:val="0"/>
              <w:snapToGrid w:val="0"/>
              <w:rPr>
                <w:rFonts w:ascii="宋体" w:hAnsi="宋体" w:eastAsia="宋体"/>
                <w:sz w:val="20"/>
              </w:rPr>
            </w:pPr>
            <w:r>
              <w:rPr>
                <w:rFonts w:ascii="宋体" w:hAnsi="宋体" w:eastAsia="宋体"/>
                <w:sz w:val="20"/>
              </w:rPr>
              <w:t>7.</w:t>
            </w:r>
            <w:r>
              <w:rPr>
                <w:rFonts w:hint="eastAsia" w:ascii="宋体" w:hAnsi="宋体" w:eastAsia="宋体"/>
                <w:sz w:val="20"/>
              </w:rPr>
              <w:t>上一年度因未出刊等原因未能用作评奖计分的，下一年度可以使用。</w:t>
            </w:r>
          </w:p>
          <w:p>
            <w:pPr>
              <w:adjustRightInd w:val="0"/>
              <w:snapToGrid w:val="0"/>
              <w:rPr>
                <w:rFonts w:hint="eastAsia" w:ascii="黑体" w:hAnsi="黑体" w:eastAsia="黑体"/>
                <w:color w:val="FF0000"/>
                <w:sz w:val="20"/>
              </w:rPr>
            </w:pPr>
            <w:r>
              <w:rPr>
                <w:rFonts w:ascii="宋体" w:hAnsi="宋体" w:eastAsia="宋体"/>
                <w:sz w:val="20"/>
              </w:rPr>
              <w:t>8.</w:t>
            </w:r>
            <w:r>
              <w:rPr>
                <w:rFonts w:hint="eastAsia" w:ascii="黑体" w:hAnsi="黑体" w:eastAsia="黑体"/>
                <w:color w:val="FF0000"/>
                <w:sz w:val="20"/>
              </w:rPr>
              <w:t>若本年度已计分</w:t>
            </w:r>
            <w:r>
              <w:rPr>
                <w:rFonts w:ascii="黑体" w:hAnsi="黑体" w:eastAsia="黑体"/>
                <w:color w:val="FF0000"/>
                <w:sz w:val="20"/>
              </w:rPr>
              <w:t>文章在下一年度被更高级别转载</w:t>
            </w:r>
            <w:r>
              <w:rPr>
                <w:rFonts w:hint="eastAsia" w:ascii="黑体" w:hAnsi="黑体" w:eastAsia="黑体"/>
                <w:color w:val="FF0000"/>
                <w:sz w:val="20"/>
              </w:rPr>
              <w:t>，</w:t>
            </w:r>
            <w:r>
              <w:rPr>
                <w:rFonts w:ascii="黑体" w:hAnsi="黑体" w:eastAsia="黑体"/>
                <w:color w:val="FF0000"/>
                <w:sz w:val="20"/>
              </w:rPr>
              <w:t>学院</w:t>
            </w:r>
            <w:r>
              <w:rPr>
                <w:rFonts w:hint="eastAsia" w:ascii="黑体" w:hAnsi="黑体" w:eastAsia="黑体"/>
                <w:color w:val="FF0000"/>
                <w:sz w:val="20"/>
              </w:rPr>
              <w:t>将</w:t>
            </w:r>
            <w:r>
              <w:rPr>
                <w:rFonts w:ascii="黑体" w:hAnsi="黑体" w:eastAsia="黑体"/>
                <w:color w:val="FF0000"/>
                <w:sz w:val="20"/>
              </w:rPr>
              <w:t>给予单独奖励，</w:t>
            </w:r>
            <w:r>
              <w:rPr>
                <w:rFonts w:hint="eastAsia" w:ascii="黑体" w:hAnsi="黑体" w:eastAsia="黑体"/>
                <w:color w:val="FF0000"/>
                <w:sz w:val="20"/>
              </w:rPr>
              <w:t>在下一年度</w:t>
            </w:r>
            <w:r>
              <w:rPr>
                <w:rFonts w:ascii="黑体" w:hAnsi="黑体" w:eastAsia="黑体"/>
                <w:color w:val="FF0000"/>
                <w:sz w:val="20"/>
              </w:rPr>
              <w:t>奖学金评审中不</w:t>
            </w:r>
            <w:r>
              <w:rPr>
                <w:rFonts w:hint="eastAsia" w:ascii="黑体" w:hAnsi="黑体" w:eastAsia="黑体"/>
                <w:color w:val="FF0000"/>
                <w:sz w:val="20"/>
              </w:rPr>
              <w:t>重复计算</w:t>
            </w:r>
            <w:r>
              <w:rPr>
                <w:rFonts w:ascii="黑体" w:hAnsi="黑体" w:eastAsia="黑体"/>
                <w:color w:val="FF0000"/>
                <w:sz w:val="20"/>
              </w:rPr>
              <w:t>。</w:t>
            </w:r>
          </w:p>
          <w:p>
            <w:pPr>
              <w:adjustRightInd w:val="0"/>
              <w:snapToGrid w:val="0"/>
              <w:rPr>
                <w:rFonts w:ascii="黑体" w:hAnsi="黑体" w:eastAsia="黑体"/>
                <w:color w:val="FF0000"/>
                <w:sz w:val="20"/>
              </w:rPr>
            </w:pPr>
            <w:r>
              <w:rPr>
                <w:rFonts w:hint="eastAsia" w:ascii="宋体" w:hAnsi="宋体" w:eastAsia="宋体"/>
                <w:sz w:val="20"/>
              </w:rPr>
              <w:t>9.</w:t>
            </w:r>
            <w:r>
              <w:rPr>
                <w:rFonts w:hint="eastAsia" w:ascii="黑体" w:hAnsi="黑体" w:eastAsia="黑体"/>
                <w:color w:val="FF0000"/>
                <w:sz w:val="20"/>
              </w:rPr>
              <w:t>何种情况下，排名第二作者以后的都不计分。合作作者计分分值为独立作者分值的百分比：一作70%，二作25%，四舍五入。</w:t>
            </w:r>
          </w:p>
          <w:p>
            <w:pPr>
              <w:adjustRightInd w:val="0"/>
              <w:snapToGrid w:val="0"/>
              <w:rPr>
                <w:rFonts w:ascii="宋体" w:hAnsi="宋体" w:eastAsia="宋体"/>
                <w:sz w:val="20"/>
              </w:rPr>
            </w:pPr>
            <w:r>
              <w:rPr>
                <w:rFonts w:hint="eastAsia" w:ascii="黑体" w:hAnsi="黑体" w:eastAsia="黑体"/>
                <w:color w:val="FF0000"/>
                <w:sz w:val="20"/>
              </w:rPr>
              <w:t>10.普刊计分规则：一年出24期及以上、每期刊载文章篇数在40篇（含）以上不算分数。</w:t>
            </w:r>
          </w:p>
          <w:p>
            <w:pPr>
              <w:adjustRightInd w:val="0"/>
              <w:snapToGrid w:val="0"/>
              <w:rPr>
                <w:rFonts w:ascii="宋体" w:hAnsi="宋体" w:eastAsia="宋体"/>
                <w:sz w:val="20"/>
              </w:rPr>
            </w:pPr>
            <w:r>
              <w:rPr>
                <w:rFonts w:hint="eastAsia" w:ascii="宋体" w:hAnsi="宋体" w:eastAsia="宋体"/>
                <w:sz w:val="20"/>
              </w:rPr>
              <w:t>1</w:t>
            </w:r>
            <w:r>
              <w:rPr>
                <w:rFonts w:ascii="宋体" w:hAnsi="宋体" w:eastAsia="宋体"/>
                <w:sz w:val="20"/>
              </w:rPr>
              <w:t>1</w:t>
            </w:r>
            <w:r>
              <w:rPr>
                <w:rFonts w:hint="eastAsia" w:ascii="宋体" w:hAnsi="宋体" w:eastAsia="宋体"/>
                <w:sz w:val="20"/>
              </w:rPr>
              <w:t>.</w:t>
            </w:r>
            <w:r>
              <w:rPr>
                <w:rFonts w:hint="eastAsia" w:ascii="黑体" w:hAnsi="黑体" w:eastAsia="黑体"/>
                <w:color w:val="FF0000"/>
                <w:sz w:val="20"/>
              </w:rPr>
              <w:t>报纸理论版文章字数应大于1</w:t>
            </w:r>
            <w:r>
              <w:rPr>
                <w:rFonts w:ascii="黑体" w:hAnsi="黑体" w:eastAsia="黑体"/>
                <w:color w:val="FF0000"/>
                <w:sz w:val="20"/>
              </w:rPr>
              <w:t>5</w:t>
            </w:r>
            <w:r>
              <w:rPr>
                <w:rFonts w:hint="eastAsia" w:ascii="黑体" w:hAnsi="黑体" w:eastAsia="黑体"/>
                <w:color w:val="FF0000"/>
                <w:sz w:val="20"/>
              </w:rPr>
              <w:t>00字，学术期刊论文原则上应大于5000字。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305" w:type="dxa"/>
            <w:vAlign w:val="center"/>
          </w:tcPr>
          <w:p>
            <w:pPr>
              <w:ind w:left="-34"/>
              <w:jc w:val="center"/>
              <w:rPr>
                <w:rFonts w:ascii="黑体" w:hAnsi="黑体" w:eastAsia="黑体"/>
                <w:color w:val="FF0000"/>
              </w:rPr>
            </w:pPr>
            <w:r>
              <w:rPr>
                <w:rFonts w:ascii="黑体" w:hAnsi="黑体" w:eastAsia="黑体"/>
                <w:color w:val="FF0000"/>
              </w:rPr>
              <w:t>7</w:t>
            </w:r>
            <w:r>
              <w:rPr>
                <w:rFonts w:hint="eastAsia" w:ascii="黑体" w:hAnsi="黑体" w:eastAsia="黑体"/>
                <w:color w:val="FF0000"/>
              </w:rPr>
              <w:t>0分/篇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25分/篇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spacing w:line="240" w:lineRule="exact"/>
              <w:rPr>
                <w:sz w:val="16"/>
              </w:rPr>
            </w:pPr>
            <w:r>
              <w:rPr>
                <w:rFonts w:hint="eastAsia"/>
                <w:sz w:val="16"/>
              </w:rPr>
              <w:t>二级学科顶尖期刊；人民</w:t>
            </w:r>
            <w:r>
              <w:rPr>
                <w:sz w:val="16"/>
              </w:rPr>
              <w:t>日报（</w:t>
            </w:r>
            <w:r>
              <w:rPr>
                <w:rFonts w:hint="eastAsia"/>
                <w:sz w:val="16"/>
              </w:rPr>
              <w:t>理论版</w:t>
            </w:r>
            <w:r>
              <w:rPr>
                <w:sz w:val="16"/>
              </w:rPr>
              <w:t>）</w:t>
            </w:r>
            <w:r>
              <w:rPr>
                <w:rFonts w:hint="eastAsia"/>
                <w:sz w:val="16"/>
              </w:rPr>
              <w:t>；</w:t>
            </w:r>
            <w:r>
              <w:rPr>
                <w:sz w:val="16"/>
              </w:rPr>
              <w:t>光明日报（</w:t>
            </w:r>
            <w:r>
              <w:rPr>
                <w:rFonts w:hint="eastAsia"/>
                <w:sz w:val="16"/>
              </w:rPr>
              <w:t>理论版</w:t>
            </w:r>
            <w:r>
              <w:rPr>
                <w:sz w:val="16"/>
              </w:rPr>
              <w:t>）</w:t>
            </w:r>
            <w:r>
              <w:rPr>
                <w:rFonts w:hint="eastAsia"/>
                <w:sz w:val="16"/>
              </w:rPr>
              <w:t>；人大复印资料转载</w:t>
            </w:r>
          </w:p>
        </w:tc>
        <w:tc>
          <w:tcPr>
            <w:tcW w:w="1572" w:type="dxa"/>
            <w:gridSpan w:val="3"/>
            <w:vAlign w:val="center"/>
          </w:tcPr>
          <w:p>
            <w:pPr>
              <w:ind w:left="-34"/>
              <w:jc w:val="center"/>
            </w:pPr>
            <w:r>
              <w:rPr>
                <w:rFonts w:hint="eastAsia"/>
              </w:rPr>
              <w:t>独立</w:t>
            </w:r>
          </w:p>
        </w:tc>
        <w:tc>
          <w:tcPr>
            <w:tcW w:w="1305" w:type="dxa"/>
            <w:vAlign w:val="center"/>
          </w:tcPr>
          <w:p>
            <w:pPr>
              <w:ind w:left="-34"/>
              <w:jc w:val="center"/>
              <w:rPr>
                <w:rFonts w:ascii="黑体" w:hAnsi="黑体" w:eastAsia="黑体"/>
                <w:color w:val="FF0000"/>
              </w:rPr>
            </w:pPr>
            <w:r>
              <w:rPr>
                <w:rFonts w:ascii="黑体" w:hAnsi="黑体" w:eastAsia="黑体"/>
                <w:color w:val="FF0000"/>
              </w:rPr>
              <w:t>65</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305" w:type="dxa"/>
            <w:vAlign w:val="center"/>
          </w:tcPr>
          <w:p>
            <w:pPr>
              <w:ind w:left="-34"/>
              <w:jc w:val="center"/>
              <w:rPr>
                <w:rFonts w:ascii="黑体" w:hAnsi="黑体" w:eastAsia="黑体"/>
                <w:color w:val="FF0000"/>
              </w:rPr>
            </w:pPr>
            <w:r>
              <w:rPr>
                <w:rFonts w:ascii="黑体" w:hAnsi="黑体" w:eastAsia="黑体"/>
                <w:color w:val="FF0000"/>
              </w:rPr>
              <w:t>46</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305" w:type="dxa"/>
            <w:vAlign w:val="center"/>
          </w:tcPr>
          <w:p>
            <w:pPr>
              <w:ind w:left="-34"/>
              <w:jc w:val="center"/>
              <w:rPr>
                <w:rFonts w:ascii="黑体" w:hAnsi="黑体" w:eastAsia="黑体"/>
                <w:color w:val="FF0000"/>
              </w:rPr>
            </w:pPr>
            <w:r>
              <w:rPr>
                <w:rFonts w:ascii="黑体" w:hAnsi="黑体" w:eastAsia="黑体"/>
                <w:color w:val="FF0000"/>
              </w:rPr>
              <w:t>16</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宋体" w:hAnsi="宋体" w:eastAsia="宋体"/>
              </w:rPr>
            </w:pPr>
            <w:r>
              <w:rPr>
                <w:rFonts w:hint="eastAsia" w:ascii="宋体" w:hAnsi="宋体" w:eastAsia="宋体"/>
              </w:rPr>
              <w:t>CSSCI来源期刊</w:t>
            </w:r>
          </w:p>
        </w:tc>
        <w:tc>
          <w:tcPr>
            <w:tcW w:w="1572" w:type="dxa"/>
            <w:gridSpan w:val="3"/>
            <w:vAlign w:val="center"/>
          </w:tcPr>
          <w:p>
            <w:pPr>
              <w:ind w:left="-34"/>
              <w:jc w:val="center"/>
            </w:pPr>
            <w:r>
              <w:rPr>
                <w:rFonts w:hint="eastAsia"/>
              </w:rPr>
              <w:t>独立</w:t>
            </w:r>
          </w:p>
        </w:tc>
        <w:tc>
          <w:tcPr>
            <w:tcW w:w="1305" w:type="dxa"/>
            <w:vAlign w:val="center"/>
          </w:tcPr>
          <w:p>
            <w:pPr>
              <w:ind w:left="-34"/>
              <w:jc w:val="center"/>
              <w:rPr>
                <w:rFonts w:ascii="黑体" w:hAnsi="黑体" w:eastAsia="黑体"/>
                <w:color w:val="FF0000"/>
              </w:rPr>
            </w:pPr>
            <w:r>
              <w:rPr>
                <w:rFonts w:ascii="黑体" w:hAnsi="黑体" w:eastAsia="黑体"/>
                <w:color w:val="FF0000"/>
              </w:rPr>
              <w:t>50</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宋体" w:hAnsi="宋体" w:eastAsia="宋体"/>
              </w:rP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35分/篇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宋体" w:hAnsi="宋体" w:eastAsia="宋体"/>
              </w:rP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305" w:type="dxa"/>
            <w:vAlign w:val="center"/>
          </w:tcPr>
          <w:p>
            <w:pPr>
              <w:ind w:left="-34"/>
              <w:jc w:val="center"/>
              <w:rPr>
                <w:rFonts w:ascii="黑体" w:hAnsi="黑体" w:eastAsia="黑体"/>
                <w:color w:val="FF0000"/>
              </w:rPr>
            </w:pPr>
            <w:r>
              <w:rPr>
                <w:rFonts w:ascii="黑体" w:hAnsi="黑体" w:eastAsia="黑体"/>
                <w:color w:val="FF0000"/>
              </w:rPr>
              <w:t>13</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C</w:t>
            </w:r>
            <w:r>
              <w:rPr>
                <w:rFonts w:ascii="黑体" w:hAnsi="黑体" w:eastAsia="黑体"/>
                <w:color w:val="FF0000"/>
              </w:rPr>
              <w:t>SSCI</w:t>
            </w:r>
            <w:r>
              <w:rPr>
                <w:rFonts w:hint="eastAsia" w:ascii="黑体" w:hAnsi="黑体" w:eastAsia="黑体"/>
                <w:color w:val="FF0000"/>
              </w:rPr>
              <w:t>扩展版期刊</w:t>
            </w:r>
          </w:p>
        </w:tc>
        <w:tc>
          <w:tcPr>
            <w:tcW w:w="1572" w:type="dxa"/>
            <w:gridSpan w:val="3"/>
            <w:vAlign w:val="center"/>
          </w:tcPr>
          <w:p>
            <w:pPr>
              <w:ind w:left="-34"/>
              <w:jc w:val="center"/>
            </w:pPr>
            <w:r>
              <w:rPr>
                <w:rFonts w:hint="eastAsia"/>
              </w:rPr>
              <w:t>独立</w:t>
            </w:r>
          </w:p>
        </w:tc>
        <w:tc>
          <w:tcPr>
            <w:tcW w:w="1305" w:type="dxa"/>
            <w:vAlign w:val="center"/>
          </w:tcPr>
          <w:p>
            <w:pPr>
              <w:ind w:left="-34"/>
              <w:jc w:val="center"/>
              <w:rPr>
                <w:rFonts w:ascii="黑体" w:hAnsi="黑体" w:eastAsia="黑体"/>
                <w:color w:val="FF0000"/>
              </w:rPr>
            </w:pPr>
            <w:r>
              <w:rPr>
                <w:rFonts w:ascii="黑体" w:hAnsi="黑体" w:eastAsia="黑体"/>
                <w:color w:val="FF0000"/>
              </w:rPr>
              <w:t>35</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restart"/>
            <w:vAlign w:val="center"/>
          </w:tcPr>
          <w:p>
            <w:pPr>
              <w:ind w:left="-34"/>
              <w:jc w:val="center"/>
            </w:pPr>
            <w:r>
              <w:rPr>
                <w:rFonts w:hint="eastAsia"/>
              </w:rPr>
              <w:t>合作</w:t>
            </w:r>
          </w:p>
        </w:tc>
        <w:tc>
          <w:tcPr>
            <w:tcW w:w="1053" w:type="dxa"/>
            <w:gridSpan w:val="2"/>
            <w:vAlign w:val="center"/>
          </w:tcPr>
          <w:p>
            <w:pPr>
              <w:ind w:left="-34"/>
              <w:jc w:val="center"/>
            </w:pPr>
            <w:r>
              <w:rPr>
                <w:rFonts w:hint="eastAsia"/>
              </w:rPr>
              <w:t>第一作者</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2</w:t>
            </w:r>
            <w:r>
              <w:rPr>
                <w:rFonts w:ascii="黑体" w:hAnsi="黑体" w:eastAsia="黑体"/>
                <w:color w:val="FF0000"/>
              </w:rPr>
              <w:t>5</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continue"/>
            <w:vAlign w:val="center"/>
          </w:tcPr>
          <w:p>
            <w:pPr>
              <w:ind w:left="-34"/>
              <w:jc w:val="center"/>
            </w:pPr>
          </w:p>
        </w:tc>
        <w:tc>
          <w:tcPr>
            <w:tcW w:w="1053" w:type="dxa"/>
            <w:gridSpan w:val="2"/>
            <w:vAlign w:val="center"/>
          </w:tcPr>
          <w:p>
            <w:pPr>
              <w:ind w:left="-34"/>
              <w:jc w:val="center"/>
            </w:pPr>
            <w:r>
              <w:rPr>
                <w:rFonts w:hint="eastAsia"/>
              </w:rPr>
              <w:t>第二作者</w:t>
            </w:r>
          </w:p>
        </w:tc>
        <w:tc>
          <w:tcPr>
            <w:tcW w:w="1305" w:type="dxa"/>
            <w:vAlign w:val="center"/>
          </w:tcPr>
          <w:p>
            <w:pPr>
              <w:ind w:left="-34"/>
              <w:jc w:val="center"/>
              <w:rPr>
                <w:rFonts w:ascii="黑体" w:hAnsi="黑体" w:eastAsia="黑体"/>
                <w:color w:val="FF0000"/>
              </w:rPr>
            </w:pPr>
            <w:r>
              <w:rPr>
                <w:rFonts w:ascii="黑体" w:hAnsi="黑体" w:eastAsia="黑体"/>
                <w:color w:val="FF0000"/>
              </w:rPr>
              <w:t>9</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其他期刊</w:t>
            </w:r>
          </w:p>
        </w:tc>
        <w:tc>
          <w:tcPr>
            <w:tcW w:w="1572" w:type="dxa"/>
            <w:gridSpan w:val="3"/>
            <w:vAlign w:val="center"/>
          </w:tcPr>
          <w:p>
            <w:pPr>
              <w:ind w:left="-34"/>
              <w:jc w:val="center"/>
            </w:pPr>
            <w:r>
              <w:rPr>
                <w:rFonts w:hint="eastAsia"/>
              </w:rPr>
              <w:t>独立</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2</w:t>
            </w:r>
            <w:r>
              <w:rPr>
                <w:rFonts w:ascii="黑体" w:hAnsi="黑体" w:eastAsia="黑体"/>
                <w:color w:val="FF0000"/>
              </w:rPr>
              <w:t>0</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restart"/>
            <w:vAlign w:val="center"/>
          </w:tcPr>
          <w:p>
            <w:pPr>
              <w:ind w:left="-34"/>
              <w:jc w:val="center"/>
            </w:pPr>
            <w:r>
              <w:t>合</w:t>
            </w:r>
            <w:r>
              <w:rPr>
                <w:rFonts w:hint="eastAsia"/>
              </w:rPr>
              <w:t>作</w:t>
            </w:r>
          </w:p>
        </w:tc>
        <w:tc>
          <w:tcPr>
            <w:tcW w:w="1053" w:type="dxa"/>
            <w:gridSpan w:val="2"/>
            <w:vAlign w:val="center"/>
          </w:tcPr>
          <w:p>
            <w:pPr>
              <w:ind w:left="-34"/>
              <w:jc w:val="center"/>
            </w:pPr>
            <w:r>
              <w:rPr>
                <w:rFonts w:hint="eastAsia"/>
              </w:rPr>
              <w:t>第一作者</w:t>
            </w:r>
          </w:p>
        </w:tc>
        <w:tc>
          <w:tcPr>
            <w:tcW w:w="1305" w:type="dxa"/>
            <w:vAlign w:val="center"/>
          </w:tcPr>
          <w:p>
            <w:pPr>
              <w:ind w:left="-34"/>
              <w:jc w:val="center"/>
              <w:rPr>
                <w:rFonts w:ascii="黑体" w:hAnsi="黑体" w:eastAsia="黑体"/>
                <w:color w:val="FF0000"/>
              </w:rPr>
            </w:pPr>
            <w:r>
              <w:rPr>
                <w:rFonts w:ascii="黑体" w:hAnsi="黑体" w:eastAsia="黑体"/>
                <w:color w:val="FF0000"/>
              </w:rPr>
              <w:t>14</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rPr>
                <w:rFonts w:ascii="黑体" w:hAnsi="黑体" w:eastAsia="黑体"/>
                <w:color w:val="FF0000"/>
              </w:rPr>
            </w:pPr>
          </w:p>
        </w:tc>
        <w:tc>
          <w:tcPr>
            <w:tcW w:w="519" w:type="dxa"/>
            <w:vMerge w:val="continue"/>
            <w:vAlign w:val="center"/>
          </w:tcPr>
          <w:p>
            <w:pPr>
              <w:ind w:left="-34"/>
              <w:jc w:val="center"/>
            </w:pPr>
          </w:p>
        </w:tc>
        <w:tc>
          <w:tcPr>
            <w:tcW w:w="1053" w:type="dxa"/>
            <w:gridSpan w:val="2"/>
            <w:vAlign w:val="center"/>
          </w:tcPr>
          <w:p>
            <w:pPr>
              <w:ind w:left="-34"/>
              <w:jc w:val="center"/>
            </w:pPr>
            <w:r>
              <w:t>第二作者</w:t>
            </w:r>
          </w:p>
        </w:tc>
        <w:tc>
          <w:tcPr>
            <w:tcW w:w="1305" w:type="dxa"/>
            <w:vAlign w:val="center"/>
          </w:tcPr>
          <w:p>
            <w:pPr>
              <w:ind w:left="-34"/>
              <w:jc w:val="center"/>
              <w:rPr>
                <w:rFonts w:ascii="黑体" w:hAnsi="黑体" w:eastAsia="黑体"/>
                <w:color w:val="FF0000"/>
              </w:rPr>
            </w:pPr>
            <w:r>
              <w:rPr>
                <w:rFonts w:ascii="黑体" w:hAnsi="黑体" w:eastAsia="黑体"/>
                <w:color w:val="FF0000"/>
              </w:rPr>
              <w:t>5</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restart"/>
            <w:vAlign w:val="center"/>
          </w:tcPr>
          <w:p>
            <w:pPr>
              <w:ind w:left="-34"/>
              <w:jc w:val="center"/>
              <w:rPr>
                <w:rFonts w:ascii="黑体" w:hAnsi="黑体" w:eastAsia="黑体"/>
                <w:color w:val="FF0000"/>
              </w:rPr>
            </w:pPr>
            <w:r>
              <w:rPr>
                <w:rFonts w:hint="eastAsia" w:ascii="黑体" w:hAnsi="黑体" w:eastAsia="黑体"/>
                <w:color w:val="FF0000"/>
              </w:rPr>
              <w:t>其他报纸理论版</w:t>
            </w:r>
          </w:p>
        </w:tc>
        <w:tc>
          <w:tcPr>
            <w:tcW w:w="1572" w:type="dxa"/>
            <w:gridSpan w:val="3"/>
            <w:vAlign w:val="center"/>
          </w:tcPr>
          <w:p>
            <w:pPr>
              <w:ind w:left="-34"/>
              <w:jc w:val="center"/>
            </w:pPr>
            <w:r>
              <w:rPr>
                <w:rFonts w:hint="eastAsia"/>
              </w:rPr>
              <w:t>独立</w:t>
            </w:r>
          </w:p>
        </w:tc>
        <w:tc>
          <w:tcPr>
            <w:tcW w:w="1305" w:type="dxa"/>
            <w:vAlign w:val="center"/>
          </w:tcPr>
          <w:p>
            <w:pPr>
              <w:ind w:left="-34"/>
              <w:jc w:val="center"/>
              <w:rPr>
                <w:rFonts w:ascii="黑体" w:hAnsi="黑体" w:eastAsia="黑体"/>
                <w:color w:val="FF0000"/>
              </w:rPr>
            </w:pPr>
            <w:r>
              <w:rPr>
                <w:rFonts w:ascii="黑体" w:hAnsi="黑体" w:eastAsia="黑体"/>
                <w:color w:val="FF0000"/>
              </w:rPr>
              <w:t>15</w:t>
            </w:r>
            <w:r>
              <w:rPr>
                <w:rFonts w:hint="eastAsia" w:ascii="黑体" w:hAnsi="黑体" w:eastAsia="黑体"/>
                <w:color w:val="FF0000"/>
              </w:rPr>
              <w:t>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restart"/>
            <w:vAlign w:val="center"/>
          </w:tcPr>
          <w:p>
            <w:pPr>
              <w:ind w:left="-34"/>
              <w:jc w:val="center"/>
            </w:pPr>
            <w:r>
              <w:t>合</w:t>
            </w:r>
            <w:r>
              <w:rPr>
                <w:rFonts w:hint="eastAsia"/>
              </w:rPr>
              <w:t>作</w:t>
            </w:r>
          </w:p>
        </w:tc>
        <w:tc>
          <w:tcPr>
            <w:tcW w:w="1053" w:type="dxa"/>
            <w:gridSpan w:val="2"/>
            <w:vAlign w:val="center"/>
          </w:tcPr>
          <w:p>
            <w:pPr>
              <w:ind w:left="-34"/>
              <w:jc w:val="center"/>
            </w:pPr>
            <w:r>
              <w:rPr>
                <w:rFonts w:hint="eastAsia"/>
              </w:rPr>
              <w:t>第一作者</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11分/篇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14" w:type="dxa"/>
            <w:vMerge w:val="continue"/>
          </w:tcPr>
          <w:p>
            <w:pPr>
              <w:ind w:left="-34"/>
              <w:jc w:val="center"/>
            </w:pPr>
          </w:p>
        </w:tc>
        <w:tc>
          <w:tcPr>
            <w:tcW w:w="566" w:type="dxa"/>
            <w:vMerge w:val="continue"/>
            <w:vAlign w:val="center"/>
          </w:tcPr>
          <w:p>
            <w:pPr>
              <w:ind w:left="-34"/>
              <w:jc w:val="center"/>
            </w:pPr>
          </w:p>
        </w:tc>
        <w:tc>
          <w:tcPr>
            <w:tcW w:w="1266" w:type="dxa"/>
            <w:gridSpan w:val="3"/>
            <w:vMerge w:val="continue"/>
            <w:vAlign w:val="center"/>
          </w:tcPr>
          <w:p>
            <w:pPr>
              <w:ind w:left="-34"/>
              <w:jc w:val="center"/>
            </w:pPr>
          </w:p>
        </w:tc>
        <w:tc>
          <w:tcPr>
            <w:tcW w:w="519" w:type="dxa"/>
            <w:vMerge w:val="continue"/>
            <w:vAlign w:val="center"/>
          </w:tcPr>
          <w:p>
            <w:pPr>
              <w:ind w:left="-34"/>
              <w:jc w:val="center"/>
            </w:pPr>
          </w:p>
        </w:tc>
        <w:tc>
          <w:tcPr>
            <w:tcW w:w="1053" w:type="dxa"/>
            <w:gridSpan w:val="2"/>
            <w:vAlign w:val="center"/>
          </w:tcPr>
          <w:p>
            <w:pPr>
              <w:ind w:left="-34"/>
              <w:jc w:val="center"/>
            </w:pPr>
            <w:r>
              <w:t>第二作者</w:t>
            </w:r>
          </w:p>
        </w:tc>
        <w:tc>
          <w:tcPr>
            <w:tcW w:w="1305" w:type="dxa"/>
            <w:vAlign w:val="center"/>
          </w:tcPr>
          <w:p>
            <w:pPr>
              <w:ind w:left="-34"/>
              <w:jc w:val="center"/>
              <w:rPr>
                <w:rFonts w:ascii="黑体" w:hAnsi="黑体" w:eastAsia="黑体"/>
                <w:color w:val="FF0000"/>
              </w:rPr>
            </w:pPr>
            <w:r>
              <w:rPr>
                <w:rFonts w:hint="eastAsia" w:ascii="黑体" w:hAnsi="黑体" w:eastAsia="黑体"/>
                <w:color w:val="FF0000"/>
              </w:rPr>
              <w:t>4分/篇</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814" w:type="dxa"/>
            <w:vMerge w:val="continue"/>
          </w:tcPr>
          <w:p>
            <w:pPr>
              <w:ind w:left="-34"/>
              <w:jc w:val="center"/>
            </w:pPr>
          </w:p>
        </w:tc>
        <w:tc>
          <w:tcPr>
            <w:tcW w:w="1137" w:type="dxa"/>
            <w:gridSpan w:val="2"/>
            <w:vMerge w:val="restart"/>
            <w:vAlign w:val="center"/>
          </w:tcPr>
          <w:p>
            <w:pPr>
              <w:ind w:left="-34"/>
              <w:jc w:val="center"/>
            </w:pPr>
            <w:r>
              <w:rPr>
                <w:rFonts w:hint="eastAsia"/>
              </w:rPr>
              <w:t>会议</w:t>
            </w:r>
          </w:p>
        </w:tc>
        <w:tc>
          <w:tcPr>
            <w:tcW w:w="2267" w:type="dxa"/>
            <w:gridSpan w:val="5"/>
            <w:vAlign w:val="center"/>
          </w:tcPr>
          <w:p>
            <w:pPr>
              <w:ind w:left="-34"/>
              <w:jc w:val="center"/>
            </w:pPr>
            <w:r>
              <w:rPr>
                <w:rFonts w:hint="eastAsia"/>
              </w:rPr>
              <w:t>国际学术会议</w:t>
            </w:r>
          </w:p>
        </w:tc>
        <w:tc>
          <w:tcPr>
            <w:tcW w:w="1305" w:type="dxa"/>
            <w:vAlign w:val="center"/>
          </w:tcPr>
          <w:p>
            <w:pPr>
              <w:ind w:left="-34"/>
              <w:jc w:val="center"/>
            </w:pPr>
            <w:r>
              <w:rPr>
                <w:rFonts w:hint="eastAsia"/>
              </w:rPr>
              <w:t>3分/次</w:t>
            </w:r>
          </w:p>
        </w:tc>
        <w:tc>
          <w:tcPr>
            <w:tcW w:w="3657" w:type="dxa"/>
            <w:gridSpan w:val="2"/>
            <w:vMerge w:val="restart"/>
            <w:vAlign w:val="center"/>
          </w:tcPr>
          <w:p>
            <w:pPr>
              <w:adjustRightInd w:val="0"/>
              <w:snapToGrid w:val="0"/>
              <w:rPr>
                <w:rFonts w:ascii="宋体" w:hAnsi="宋体" w:eastAsia="宋体"/>
                <w:sz w:val="18"/>
              </w:rPr>
            </w:pPr>
            <w:r>
              <w:rPr>
                <w:rFonts w:ascii="宋体" w:hAnsi="宋体" w:eastAsia="宋体"/>
                <w:sz w:val="18"/>
              </w:rPr>
              <w:t>1.</w:t>
            </w:r>
            <w:r>
              <w:rPr>
                <w:rFonts w:hint="eastAsia" w:ascii="宋体" w:hAnsi="宋体" w:eastAsia="宋体"/>
                <w:sz w:val="18"/>
              </w:rPr>
              <w:t>需提供会议邀请函、论文集、本人文章摘要、发言稿、获奖证明、相关报道等材料。在大会上做主题发言（有相关证明材料）可追加1分。相似主题和内容的文章只能计算1次。</w:t>
            </w:r>
            <w:r>
              <w:rPr>
                <w:rFonts w:hint="eastAsia" w:ascii="黑体" w:hAnsi="黑体" w:eastAsia="黑体"/>
                <w:color w:val="FF0000"/>
                <w:sz w:val="18"/>
              </w:rPr>
              <w:t>会议计分</w:t>
            </w:r>
            <w:r>
              <w:rPr>
                <w:rFonts w:ascii="黑体" w:hAnsi="黑体" w:eastAsia="黑体"/>
                <w:color w:val="FF0000"/>
                <w:sz w:val="18"/>
              </w:rPr>
              <w:t>5</w:t>
            </w:r>
            <w:r>
              <w:rPr>
                <w:rFonts w:hint="eastAsia" w:ascii="黑体" w:hAnsi="黑体" w:eastAsia="黑体"/>
                <w:color w:val="FF0000"/>
                <w:sz w:val="18"/>
              </w:rPr>
              <w:t>分封顶</w:t>
            </w:r>
          </w:p>
          <w:p>
            <w:pPr>
              <w:adjustRightInd w:val="0"/>
              <w:snapToGrid w:val="0"/>
              <w:rPr>
                <w:rFonts w:ascii="宋体" w:hAnsi="宋体" w:eastAsia="宋体"/>
                <w:sz w:val="18"/>
              </w:rPr>
            </w:pPr>
            <w:r>
              <w:rPr>
                <w:rFonts w:hint="eastAsia" w:ascii="宋体" w:hAnsi="宋体" w:eastAsia="宋体"/>
                <w:sz w:val="18"/>
              </w:rPr>
              <w:t>2.</w:t>
            </w:r>
            <w:r>
              <w:rPr>
                <w:rFonts w:hint="eastAsia" w:ascii="黑体" w:hAnsi="黑体" w:eastAsia="黑体"/>
                <w:color w:val="FF0000"/>
                <w:sz w:val="18"/>
              </w:rPr>
              <w:t>有公开出版的会议论文集，入选文章按照一篇普刊计分。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ind w:left="-34"/>
              <w:jc w:val="center"/>
            </w:pPr>
            <w:r>
              <w:rPr>
                <w:rFonts w:hint="eastAsia"/>
              </w:rPr>
              <w:t>国内学术会议</w:t>
            </w:r>
          </w:p>
        </w:tc>
        <w:tc>
          <w:tcPr>
            <w:tcW w:w="1305" w:type="dxa"/>
            <w:vAlign w:val="center"/>
          </w:tcPr>
          <w:p>
            <w:pPr>
              <w:ind w:left="-34"/>
              <w:jc w:val="center"/>
            </w:pPr>
            <w:r>
              <w:rPr>
                <w:rFonts w:hint="eastAsia"/>
              </w:rPr>
              <w:t>1分/次</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restart"/>
            <w:vAlign w:val="center"/>
          </w:tcPr>
          <w:p>
            <w:pPr>
              <w:ind w:left="-34"/>
              <w:jc w:val="center"/>
            </w:pPr>
            <w:r>
              <w:rPr>
                <w:rFonts w:hint="eastAsia"/>
              </w:rPr>
              <w:t>主持课题</w:t>
            </w:r>
          </w:p>
        </w:tc>
        <w:tc>
          <w:tcPr>
            <w:tcW w:w="2267" w:type="dxa"/>
            <w:gridSpan w:val="5"/>
            <w:vAlign w:val="center"/>
          </w:tcPr>
          <w:p>
            <w:pPr>
              <w:spacing w:line="312" w:lineRule="auto"/>
              <w:ind w:left="-34"/>
              <w:jc w:val="center"/>
            </w:pPr>
            <w:r>
              <w:rPr>
                <w:rFonts w:hint="eastAsia"/>
              </w:rPr>
              <w:t>厅局级和校级</w:t>
            </w:r>
          </w:p>
        </w:tc>
        <w:tc>
          <w:tcPr>
            <w:tcW w:w="1305" w:type="dxa"/>
            <w:vAlign w:val="center"/>
          </w:tcPr>
          <w:p>
            <w:pPr>
              <w:ind w:left="-34"/>
              <w:jc w:val="center"/>
            </w:pPr>
            <w:r>
              <w:rPr>
                <w:rFonts w:hint="eastAsia"/>
              </w:rPr>
              <w:t>8分/项</w:t>
            </w:r>
          </w:p>
        </w:tc>
        <w:tc>
          <w:tcPr>
            <w:tcW w:w="3657" w:type="dxa"/>
            <w:gridSpan w:val="2"/>
            <w:vMerge w:val="restart"/>
            <w:vAlign w:val="center"/>
          </w:tcPr>
          <w:p>
            <w:pPr>
              <w:adjustRightInd w:val="0"/>
              <w:snapToGrid w:val="0"/>
              <w:ind w:left="-34"/>
              <w:rPr>
                <w:rFonts w:ascii="宋体" w:hAnsi="宋体" w:eastAsia="宋体"/>
                <w:sz w:val="20"/>
                <w:szCs w:val="21"/>
              </w:rPr>
            </w:pPr>
            <w:r>
              <w:rPr>
                <w:rFonts w:hint="eastAsia" w:ascii="宋体" w:hAnsi="宋体" w:eastAsia="宋体"/>
                <w:sz w:val="20"/>
                <w:szCs w:val="21"/>
              </w:rPr>
              <w:t>1</w:t>
            </w:r>
            <w:r>
              <w:rPr>
                <w:rFonts w:ascii="宋体" w:hAnsi="宋体" w:eastAsia="宋体"/>
                <w:sz w:val="20"/>
                <w:szCs w:val="21"/>
              </w:rPr>
              <w:t>.</w:t>
            </w:r>
            <w:r>
              <w:rPr>
                <w:rFonts w:hint="eastAsia" w:ascii="宋体" w:hAnsi="宋体" w:eastAsia="宋体"/>
                <w:sz w:val="20"/>
                <w:szCs w:val="21"/>
              </w:rPr>
              <w:t>必须是评审年度内获得立项的课题，以同一或相类似主题申请的不同级别的课题仅以最高级别计分一次。上一年度已计分的课题不带入下一年度。</w:t>
            </w:r>
          </w:p>
          <w:p>
            <w:pPr>
              <w:adjustRightInd w:val="0"/>
              <w:snapToGrid w:val="0"/>
              <w:ind w:left="-34"/>
              <w:rPr>
                <w:rFonts w:ascii="宋体" w:hAnsi="宋体" w:eastAsia="宋体"/>
                <w:sz w:val="20"/>
                <w:szCs w:val="21"/>
              </w:rPr>
            </w:pPr>
            <w:r>
              <w:rPr>
                <w:rFonts w:hint="eastAsia" w:ascii="宋体" w:hAnsi="宋体" w:eastAsia="宋体"/>
                <w:sz w:val="20"/>
                <w:szCs w:val="21"/>
              </w:rPr>
              <w:t>2.参与课题一项，学生须为正式的课题组成员（以申报书为准），需课题组负责人出具参与课题申报阶段具体工作的证明。</w:t>
            </w:r>
          </w:p>
          <w:p>
            <w:pPr>
              <w:adjustRightInd w:val="0"/>
              <w:snapToGrid w:val="0"/>
              <w:ind w:left="-34"/>
            </w:pPr>
            <w:r>
              <w:rPr>
                <w:rFonts w:hint="eastAsia" w:ascii="宋体" w:hAnsi="宋体" w:eastAsia="宋体"/>
                <w:szCs w:val="21"/>
              </w:rPr>
              <w:t>3.</w:t>
            </w:r>
            <w:r>
              <w:rPr>
                <w:rFonts w:hint="eastAsia" w:ascii="黑体" w:hAnsi="黑体" w:eastAsia="黑体"/>
                <w:color w:val="FF0000"/>
                <w:szCs w:val="21"/>
              </w:rPr>
              <w:t>校级课题指学校社科处发布的有正式课题编号的项目。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学院</w:t>
            </w:r>
          </w:p>
        </w:tc>
        <w:tc>
          <w:tcPr>
            <w:tcW w:w="1305" w:type="dxa"/>
            <w:vAlign w:val="center"/>
          </w:tcPr>
          <w:p>
            <w:pPr>
              <w:ind w:left="-34"/>
              <w:jc w:val="center"/>
            </w:pPr>
            <w:r>
              <w:t>3</w:t>
            </w:r>
            <w:r>
              <w:rPr>
                <w:rFonts w:hint="eastAsia"/>
              </w:rPr>
              <w:t>分/项</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restart"/>
            <w:vAlign w:val="center"/>
          </w:tcPr>
          <w:p>
            <w:pPr>
              <w:ind w:left="-34"/>
              <w:jc w:val="center"/>
            </w:pPr>
            <w:r>
              <w:rPr>
                <w:rFonts w:hint="eastAsia"/>
              </w:rPr>
              <w:t>参与课题</w:t>
            </w:r>
          </w:p>
        </w:tc>
        <w:tc>
          <w:tcPr>
            <w:tcW w:w="2267" w:type="dxa"/>
            <w:gridSpan w:val="5"/>
            <w:vAlign w:val="center"/>
          </w:tcPr>
          <w:p>
            <w:pPr>
              <w:spacing w:line="312" w:lineRule="auto"/>
              <w:ind w:left="-34"/>
              <w:jc w:val="center"/>
            </w:pPr>
            <w:r>
              <w:rPr>
                <w:rFonts w:hint="eastAsia"/>
              </w:rPr>
              <w:t>国家级</w:t>
            </w:r>
          </w:p>
        </w:tc>
        <w:tc>
          <w:tcPr>
            <w:tcW w:w="1305" w:type="dxa"/>
            <w:vAlign w:val="center"/>
          </w:tcPr>
          <w:p>
            <w:pPr>
              <w:ind w:left="-34"/>
              <w:jc w:val="center"/>
            </w:pPr>
            <w:r>
              <w:rPr>
                <w:rFonts w:hint="eastAsia"/>
              </w:rPr>
              <w:t>8分/项</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省部级</w:t>
            </w:r>
          </w:p>
        </w:tc>
        <w:tc>
          <w:tcPr>
            <w:tcW w:w="1305" w:type="dxa"/>
            <w:vAlign w:val="center"/>
          </w:tcPr>
          <w:p>
            <w:pPr>
              <w:ind w:left="-34"/>
              <w:jc w:val="center"/>
            </w:pPr>
            <w:r>
              <w:rPr>
                <w:rFonts w:hint="eastAsia"/>
              </w:rPr>
              <w:t>5分/项</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厅局级和校级</w:t>
            </w:r>
          </w:p>
        </w:tc>
        <w:tc>
          <w:tcPr>
            <w:tcW w:w="1305" w:type="dxa"/>
            <w:vAlign w:val="center"/>
          </w:tcPr>
          <w:p>
            <w:pPr>
              <w:ind w:left="-34"/>
              <w:jc w:val="center"/>
            </w:pPr>
            <w:r>
              <w:rPr>
                <w:rFonts w:hint="eastAsia"/>
              </w:rPr>
              <w:t>3分/项</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14" w:type="dxa"/>
            <w:vMerge w:val="continue"/>
          </w:tcPr>
          <w:p>
            <w:pPr>
              <w:ind w:left="-34"/>
              <w:jc w:val="center"/>
            </w:pPr>
          </w:p>
        </w:tc>
        <w:tc>
          <w:tcPr>
            <w:tcW w:w="1137" w:type="dxa"/>
            <w:gridSpan w:val="2"/>
            <w:vMerge w:val="continue"/>
            <w:vAlign w:val="center"/>
          </w:tcPr>
          <w:p>
            <w:pPr>
              <w:ind w:left="-34"/>
              <w:jc w:val="center"/>
            </w:pPr>
          </w:p>
        </w:tc>
        <w:tc>
          <w:tcPr>
            <w:tcW w:w="2267" w:type="dxa"/>
            <w:gridSpan w:val="5"/>
            <w:vAlign w:val="center"/>
          </w:tcPr>
          <w:p>
            <w:pPr>
              <w:spacing w:line="312" w:lineRule="auto"/>
              <w:ind w:left="-34"/>
              <w:jc w:val="center"/>
            </w:pPr>
            <w:r>
              <w:rPr>
                <w:rFonts w:hint="eastAsia"/>
              </w:rPr>
              <w:t>学院</w:t>
            </w:r>
          </w:p>
        </w:tc>
        <w:tc>
          <w:tcPr>
            <w:tcW w:w="1305" w:type="dxa"/>
            <w:vAlign w:val="center"/>
          </w:tcPr>
          <w:p>
            <w:pPr>
              <w:ind w:left="-34"/>
              <w:jc w:val="center"/>
            </w:pPr>
            <w:r>
              <w:rPr>
                <w:rFonts w:hint="eastAsia"/>
              </w:rPr>
              <w:t>1分/项</w:t>
            </w:r>
          </w:p>
        </w:tc>
        <w:tc>
          <w:tcPr>
            <w:tcW w:w="3657" w:type="dxa"/>
            <w:gridSpan w:val="2"/>
            <w:vMerge w:val="continue"/>
            <w:vAlign w:val="center"/>
          </w:tcPr>
          <w:p>
            <w:pPr>
              <w:ind w:left="-3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814" w:type="dxa"/>
            <w:vMerge w:val="restart"/>
            <w:vAlign w:val="center"/>
          </w:tcPr>
          <w:p>
            <w:pPr>
              <w:ind w:left="-34"/>
              <w:jc w:val="center"/>
            </w:pPr>
            <w:r>
              <w:rPr>
                <w:rFonts w:hint="eastAsia"/>
                <w:b/>
              </w:rPr>
              <w:t>理论宣讲</w:t>
            </w:r>
          </w:p>
        </w:tc>
        <w:tc>
          <w:tcPr>
            <w:tcW w:w="1702" w:type="dxa"/>
            <w:gridSpan w:val="3"/>
          </w:tcPr>
          <w:p>
            <w:pPr>
              <w:spacing w:line="264" w:lineRule="auto"/>
              <w:jc w:val="center"/>
            </w:pPr>
          </w:p>
        </w:tc>
        <w:tc>
          <w:tcPr>
            <w:tcW w:w="1417" w:type="dxa"/>
            <w:gridSpan w:val="3"/>
          </w:tcPr>
          <w:p>
            <w:pPr>
              <w:spacing w:line="264" w:lineRule="auto"/>
              <w:jc w:val="center"/>
              <w:rPr>
                <w:sz w:val="18"/>
                <w:szCs w:val="18"/>
              </w:rPr>
            </w:pPr>
            <w:r>
              <w:rPr>
                <w:sz w:val="18"/>
                <w:szCs w:val="18"/>
              </w:rPr>
              <w:t>独立宣讲</w:t>
            </w:r>
          </w:p>
        </w:tc>
        <w:tc>
          <w:tcPr>
            <w:tcW w:w="1590" w:type="dxa"/>
            <w:gridSpan w:val="2"/>
          </w:tcPr>
          <w:p>
            <w:pPr>
              <w:spacing w:line="264" w:lineRule="auto"/>
              <w:jc w:val="center"/>
              <w:rPr>
                <w:sz w:val="18"/>
                <w:szCs w:val="18"/>
              </w:rPr>
            </w:pPr>
            <w:r>
              <w:rPr>
                <w:sz w:val="18"/>
                <w:szCs w:val="18"/>
              </w:rPr>
              <w:t>团队宣讲</w:t>
            </w:r>
          </w:p>
        </w:tc>
        <w:tc>
          <w:tcPr>
            <w:tcW w:w="3657" w:type="dxa"/>
            <w:gridSpan w:val="2"/>
            <w:vMerge w:val="restart"/>
            <w:vAlign w:val="center"/>
          </w:tcPr>
          <w:p>
            <w:pPr>
              <w:adjustRightInd w:val="0"/>
              <w:snapToGrid w:val="0"/>
              <w:spacing w:line="220" w:lineRule="atLeast"/>
              <w:rPr>
                <w:rFonts w:asciiTheme="minorEastAsia" w:hAnsiTheme="minorEastAsia"/>
                <w:sz w:val="18"/>
                <w:szCs w:val="18"/>
              </w:rPr>
            </w:pPr>
            <w:r>
              <w:rPr>
                <w:rFonts w:hint="eastAsia" w:ascii="黑体" w:hAnsi="黑体" w:eastAsia="黑体"/>
                <w:color w:val="FF0000"/>
                <w:sz w:val="18"/>
                <w:szCs w:val="18"/>
              </w:rPr>
              <w:t>1.所有宣讲必须由学校、学院派出</w:t>
            </w:r>
            <w:r>
              <w:rPr>
                <w:rFonts w:hint="eastAsia" w:asciiTheme="minorEastAsia" w:hAnsiTheme="minorEastAsia"/>
                <w:sz w:val="18"/>
                <w:szCs w:val="18"/>
              </w:rPr>
              <w:t>，方具备计分资格。级别以邀请方级别为准。</w:t>
            </w:r>
          </w:p>
          <w:p>
            <w:pPr>
              <w:adjustRightInd w:val="0"/>
              <w:snapToGrid w:val="0"/>
              <w:spacing w:line="220" w:lineRule="atLeast"/>
              <w:rPr>
                <w:rFonts w:asciiTheme="minorEastAsia" w:hAnsiTheme="minorEastAsia"/>
                <w:sz w:val="18"/>
                <w:szCs w:val="18"/>
              </w:rPr>
            </w:pPr>
            <w:r>
              <w:rPr>
                <w:rFonts w:hint="eastAsia" w:asciiTheme="minorEastAsia" w:hAnsiTheme="minorEastAsia"/>
                <w:sz w:val="18"/>
                <w:szCs w:val="18"/>
              </w:rPr>
              <w:t>2.独立宣讲要求1人完成全部授课，时间1小时以上（授课时间40</w:t>
            </w:r>
            <w:r>
              <w:rPr>
                <w:rFonts w:asciiTheme="minorEastAsia" w:hAnsiTheme="minorEastAsia"/>
                <w:sz w:val="18"/>
                <w:szCs w:val="18"/>
              </w:rPr>
              <w:t>-60</w:t>
            </w:r>
            <w:r>
              <w:rPr>
                <w:rFonts w:hint="eastAsia" w:asciiTheme="minorEastAsia" w:hAnsiTheme="minorEastAsia"/>
                <w:sz w:val="18"/>
                <w:szCs w:val="18"/>
              </w:rPr>
              <w:t>分钟的计分</w:t>
            </w:r>
            <w:r>
              <w:rPr>
                <w:rFonts w:asciiTheme="minorEastAsia" w:hAnsiTheme="minorEastAsia"/>
                <w:sz w:val="18"/>
                <w:szCs w:val="18"/>
              </w:rPr>
              <w:t>减半，不足</w:t>
            </w:r>
            <w:r>
              <w:rPr>
                <w:rFonts w:hint="eastAsia" w:asciiTheme="minorEastAsia" w:hAnsiTheme="minorEastAsia"/>
                <w:sz w:val="18"/>
                <w:szCs w:val="18"/>
              </w:rPr>
              <w:t>40分钟</w:t>
            </w:r>
            <w:r>
              <w:rPr>
                <w:rFonts w:asciiTheme="minorEastAsia" w:hAnsiTheme="minorEastAsia"/>
                <w:sz w:val="18"/>
                <w:szCs w:val="18"/>
              </w:rPr>
              <w:t>不计分</w:t>
            </w:r>
            <w:r>
              <w:rPr>
                <w:rFonts w:hint="eastAsia" w:asciiTheme="minorEastAsia" w:hAnsiTheme="minorEastAsia"/>
                <w:sz w:val="18"/>
                <w:szCs w:val="18"/>
              </w:rPr>
              <w:t>），</w:t>
            </w:r>
            <w:r>
              <w:rPr>
                <w:rFonts w:hint="eastAsia" w:ascii="黑体" w:hAnsi="黑体" w:eastAsia="黑体"/>
                <w:color w:val="FF0000"/>
                <w:sz w:val="18"/>
                <w:szCs w:val="18"/>
              </w:rPr>
              <w:t>需提供新闻报道、讲授课件等。</w:t>
            </w:r>
          </w:p>
          <w:p>
            <w:pPr>
              <w:adjustRightInd w:val="0"/>
              <w:snapToGrid w:val="0"/>
              <w:spacing w:line="220" w:lineRule="atLeast"/>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.各种交流座谈活动不计分。</w:t>
            </w:r>
          </w:p>
          <w:p>
            <w:pPr>
              <w:adjustRightInd w:val="0"/>
              <w:snapToGrid w:val="0"/>
              <w:spacing w:line="220" w:lineRule="atLeast"/>
              <w:rPr>
                <w:rFonts w:asciiTheme="minorEastAsia" w:hAnsiTheme="minorEastAsia"/>
                <w:sz w:val="18"/>
              </w:rPr>
            </w:pPr>
            <w:r>
              <w:rPr>
                <w:rFonts w:asciiTheme="minorEastAsia" w:hAnsiTheme="minorEastAsia"/>
                <w:sz w:val="18"/>
                <w:szCs w:val="18"/>
              </w:rPr>
              <w:t>4.</w:t>
            </w:r>
            <w:r>
              <w:rPr>
                <w:rFonts w:hint="eastAsia" w:ascii="黑体" w:hAnsi="黑体" w:eastAsia="黑体"/>
                <w:color w:val="FF0000"/>
                <w:sz w:val="18"/>
                <w:szCs w:val="18"/>
              </w:rPr>
              <w:t>宣讲累计计分原则上不超过个人科研能力计分总和。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14" w:type="dxa"/>
            <w:vMerge w:val="continue"/>
          </w:tcPr>
          <w:p>
            <w:pPr>
              <w:jc w:val="center"/>
            </w:pPr>
          </w:p>
        </w:tc>
        <w:tc>
          <w:tcPr>
            <w:tcW w:w="1702" w:type="dxa"/>
            <w:gridSpan w:val="3"/>
            <w:vAlign w:val="center"/>
          </w:tcPr>
          <w:p>
            <w:pPr>
              <w:spacing w:line="264" w:lineRule="auto"/>
              <w:jc w:val="center"/>
              <w:rPr>
                <w:sz w:val="18"/>
                <w:szCs w:val="18"/>
              </w:rPr>
            </w:pPr>
            <w:r>
              <w:rPr>
                <w:sz w:val="18"/>
                <w:szCs w:val="18"/>
              </w:rPr>
              <w:t>国家级</w:t>
            </w:r>
            <w:r>
              <w:rPr>
                <w:rFonts w:hint="eastAsia"/>
                <w:sz w:val="18"/>
                <w:szCs w:val="18"/>
              </w:rPr>
              <w:t>单位</w:t>
            </w:r>
          </w:p>
        </w:tc>
        <w:tc>
          <w:tcPr>
            <w:tcW w:w="1417" w:type="dxa"/>
            <w:gridSpan w:val="3"/>
            <w:vAlign w:val="center"/>
          </w:tcPr>
          <w:p>
            <w:pPr>
              <w:spacing w:line="264" w:lineRule="auto"/>
              <w:jc w:val="center"/>
            </w:pPr>
            <w:r>
              <w:rPr>
                <w:rFonts w:hint="eastAsia"/>
              </w:rPr>
              <w:t>8分/场</w:t>
            </w:r>
          </w:p>
        </w:tc>
        <w:tc>
          <w:tcPr>
            <w:tcW w:w="1590" w:type="dxa"/>
            <w:gridSpan w:val="2"/>
            <w:vAlign w:val="center"/>
          </w:tcPr>
          <w:p>
            <w:pPr>
              <w:spacing w:line="264" w:lineRule="auto"/>
              <w:jc w:val="center"/>
            </w:pPr>
            <w:r>
              <w:t>4</w:t>
            </w:r>
            <w:r>
              <w:rPr>
                <w:rFonts w:hint="eastAsia"/>
              </w:rPr>
              <w:t>分/场</w:t>
            </w:r>
          </w:p>
        </w:tc>
        <w:tc>
          <w:tcPr>
            <w:tcW w:w="3657" w:type="dxa"/>
            <w:gridSpan w:val="2"/>
            <w:vMerge w:val="continue"/>
          </w:tcPr>
          <w:p/>
        </w:tc>
      </w:tr>
      <w:tr>
        <w:tblPrEx>
          <w:tblLayout w:type="fixed"/>
          <w:tblCellMar>
            <w:top w:w="0" w:type="dxa"/>
            <w:left w:w="108" w:type="dxa"/>
            <w:bottom w:w="0" w:type="dxa"/>
            <w:right w:w="108" w:type="dxa"/>
          </w:tblCellMar>
        </w:tblPrEx>
        <w:trPr>
          <w:trHeight w:val="449" w:hRule="atLeast"/>
        </w:trPr>
        <w:tc>
          <w:tcPr>
            <w:tcW w:w="814" w:type="dxa"/>
            <w:vMerge w:val="continue"/>
          </w:tcPr>
          <w:p>
            <w:pPr>
              <w:jc w:val="center"/>
            </w:pPr>
          </w:p>
        </w:tc>
        <w:tc>
          <w:tcPr>
            <w:tcW w:w="1702" w:type="dxa"/>
            <w:gridSpan w:val="3"/>
          </w:tcPr>
          <w:p>
            <w:pPr>
              <w:spacing w:line="264" w:lineRule="auto"/>
              <w:jc w:val="center"/>
              <w:rPr>
                <w:sz w:val="18"/>
                <w:szCs w:val="18"/>
              </w:rPr>
            </w:pPr>
            <w:r>
              <w:rPr>
                <w:sz w:val="18"/>
                <w:szCs w:val="18"/>
              </w:rPr>
              <w:t>省部级</w:t>
            </w:r>
            <w:r>
              <w:rPr>
                <w:rFonts w:hint="eastAsia"/>
                <w:sz w:val="18"/>
                <w:szCs w:val="18"/>
              </w:rPr>
              <w:t>单位</w:t>
            </w:r>
          </w:p>
        </w:tc>
        <w:tc>
          <w:tcPr>
            <w:tcW w:w="1417" w:type="dxa"/>
            <w:gridSpan w:val="3"/>
          </w:tcPr>
          <w:p>
            <w:pPr>
              <w:spacing w:line="264" w:lineRule="auto"/>
              <w:jc w:val="center"/>
            </w:pPr>
            <w:r>
              <w:rPr>
                <w:rFonts w:hint="eastAsia"/>
              </w:rPr>
              <w:t>6分/场</w:t>
            </w:r>
          </w:p>
        </w:tc>
        <w:tc>
          <w:tcPr>
            <w:tcW w:w="1590" w:type="dxa"/>
            <w:gridSpan w:val="2"/>
          </w:tcPr>
          <w:p>
            <w:pPr>
              <w:spacing w:line="264" w:lineRule="auto"/>
              <w:jc w:val="center"/>
            </w:pPr>
            <w:r>
              <w:rPr>
                <w:rFonts w:hint="eastAsia"/>
              </w:rPr>
              <w:t>3分/场</w:t>
            </w:r>
          </w:p>
        </w:tc>
        <w:tc>
          <w:tcPr>
            <w:tcW w:w="3657" w:type="dxa"/>
            <w:gridSpan w:val="2"/>
            <w:vMerge w:val="continue"/>
          </w:tcPr>
          <w:p/>
        </w:tc>
      </w:tr>
      <w:tr>
        <w:tblPrEx>
          <w:tblLayout w:type="fixed"/>
          <w:tblCellMar>
            <w:top w:w="0" w:type="dxa"/>
            <w:left w:w="108" w:type="dxa"/>
            <w:bottom w:w="0" w:type="dxa"/>
            <w:right w:w="108" w:type="dxa"/>
          </w:tblCellMar>
        </w:tblPrEx>
        <w:trPr>
          <w:trHeight w:val="475" w:hRule="atLeast"/>
        </w:trPr>
        <w:tc>
          <w:tcPr>
            <w:tcW w:w="814" w:type="dxa"/>
            <w:vMerge w:val="continue"/>
          </w:tcPr>
          <w:p>
            <w:pPr>
              <w:jc w:val="center"/>
            </w:pPr>
          </w:p>
        </w:tc>
        <w:tc>
          <w:tcPr>
            <w:tcW w:w="1702" w:type="dxa"/>
            <w:gridSpan w:val="3"/>
          </w:tcPr>
          <w:p>
            <w:pPr>
              <w:spacing w:line="264" w:lineRule="auto"/>
              <w:jc w:val="center"/>
              <w:rPr>
                <w:sz w:val="18"/>
                <w:szCs w:val="18"/>
              </w:rPr>
            </w:pPr>
            <w:r>
              <w:rPr>
                <w:rFonts w:hint="eastAsia"/>
                <w:sz w:val="18"/>
                <w:szCs w:val="18"/>
              </w:rPr>
              <w:t>校际、社区工厂等</w:t>
            </w:r>
          </w:p>
        </w:tc>
        <w:tc>
          <w:tcPr>
            <w:tcW w:w="1417" w:type="dxa"/>
            <w:gridSpan w:val="3"/>
          </w:tcPr>
          <w:p>
            <w:pPr>
              <w:spacing w:line="264" w:lineRule="auto"/>
              <w:jc w:val="center"/>
            </w:pPr>
            <w:r>
              <w:rPr>
                <w:rFonts w:hint="eastAsia"/>
              </w:rPr>
              <w:t>4分/场</w:t>
            </w:r>
          </w:p>
        </w:tc>
        <w:tc>
          <w:tcPr>
            <w:tcW w:w="1590" w:type="dxa"/>
            <w:gridSpan w:val="2"/>
          </w:tcPr>
          <w:p>
            <w:pPr>
              <w:spacing w:line="264" w:lineRule="auto"/>
              <w:jc w:val="center"/>
            </w:pPr>
            <w:r>
              <w:rPr>
                <w:rFonts w:hint="eastAsia"/>
              </w:rPr>
              <w:t>2分/场</w:t>
            </w:r>
          </w:p>
        </w:tc>
        <w:tc>
          <w:tcPr>
            <w:tcW w:w="365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14" w:type="dxa"/>
            <w:vMerge w:val="continue"/>
          </w:tcPr>
          <w:p>
            <w:pPr>
              <w:jc w:val="center"/>
            </w:pPr>
          </w:p>
        </w:tc>
        <w:tc>
          <w:tcPr>
            <w:tcW w:w="1702" w:type="dxa"/>
            <w:gridSpan w:val="3"/>
          </w:tcPr>
          <w:p>
            <w:pPr>
              <w:spacing w:line="264" w:lineRule="auto"/>
              <w:jc w:val="center"/>
              <w:rPr>
                <w:sz w:val="18"/>
                <w:szCs w:val="18"/>
              </w:rPr>
            </w:pPr>
            <w:r>
              <w:rPr>
                <w:rFonts w:hint="eastAsia"/>
                <w:sz w:val="18"/>
                <w:szCs w:val="18"/>
              </w:rPr>
              <w:t>校内各单位</w:t>
            </w:r>
          </w:p>
        </w:tc>
        <w:tc>
          <w:tcPr>
            <w:tcW w:w="1417" w:type="dxa"/>
            <w:gridSpan w:val="3"/>
          </w:tcPr>
          <w:p>
            <w:pPr>
              <w:spacing w:line="264" w:lineRule="auto"/>
              <w:jc w:val="center"/>
            </w:pPr>
            <w:r>
              <w:rPr>
                <w:rFonts w:hint="eastAsia"/>
              </w:rPr>
              <w:t>2分/场</w:t>
            </w:r>
          </w:p>
        </w:tc>
        <w:tc>
          <w:tcPr>
            <w:tcW w:w="1590" w:type="dxa"/>
            <w:gridSpan w:val="2"/>
          </w:tcPr>
          <w:p>
            <w:pPr>
              <w:spacing w:line="264" w:lineRule="auto"/>
              <w:jc w:val="center"/>
            </w:pPr>
            <w:r>
              <w:rPr>
                <w:rFonts w:hint="eastAsia"/>
              </w:rPr>
              <w:t>1分/场</w:t>
            </w:r>
          </w:p>
        </w:tc>
        <w:tc>
          <w:tcPr>
            <w:tcW w:w="3657"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14" w:type="dxa"/>
            <w:vMerge w:val="restart"/>
            <w:vAlign w:val="center"/>
          </w:tcPr>
          <w:p>
            <w:pPr>
              <w:ind w:left="-34"/>
              <w:jc w:val="center"/>
              <w:rPr>
                <w:b/>
              </w:rPr>
            </w:pPr>
            <w:r>
              <w:rPr>
                <w:rFonts w:hint="eastAsia"/>
                <w:b/>
              </w:rPr>
              <w:t>其他</w:t>
            </w:r>
          </w:p>
        </w:tc>
        <w:tc>
          <w:tcPr>
            <w:tcW w:w="3404" w:type="dxa"/>
            <w:gridSpan w:val="7"/>
            <w:vAlign w:val="center"/>
          </w:tcPr>
          <w:p>
            <w:r>
              <w:rPr>
                <w:rFonts w:hint="eastAsia" w:ascii="宋体" w:hAnsi="宋体" w:eastAsia="宋体"/>
                <w:sz w:val="18"/>
                <w:szCs w:val="18"/>
              </w:rPr>
              <w:t>担任党支部书记、班长、研究生会部长以上、理论社团负责人等主要学生干部</w:t>
            </w:r>
          </w:p>
        </w:tc>
        <w:tc>
          <w:tcPr>
            <w:tcW w:w="1305" w:type="dxa"/>
            <w:vAlign w:val="center"/>
          </w:tcPr>
          <w:p>
            <w:pPr>
              <w:ind w:firstLine="210" w:firstLineChars="100"/>
            </w:pPr>
            <w:r>
              <w:t>5</w:t>
            </w:r>
            <w:r>
              <w:rPr>
                <w:rFonts w:hint="eastAsia"/>
              </w:rPr>
              <w:t>分</w:t>
            </w:r>
          </w:p>
        </w:tc>
        <w:tc>
          <w:tcPr>
            <w:tcW w:w="2694" w:type="dxa"/>
            <w:vAlign w:val="center"/>
          </w:tcPr>
          <w:p>
            <w:pPr>
              <w:rPr>
                <w:sz w:val="18"/>
                <w:szCs w:val="18"/>
              </w:rPr>
            </w:pPr>
            <w:r>
              <w:rPr>
                <w:rFonts w:hint="eastAsia" w:ascii="宋体" w:hAnsi="宋体" w:eastAsia="宋体" w:cs="宋体"/>
                <w:szCs w:val="21"/>
              </w:rPr>
              <w:t>经考核合格方可加分。</w:t>
            </w:r>
          </w:p>
        </w:tc>
        <w:tc>
          <w:tcPr>
            <w:tcW w:w="963" w:type="dxa"/>
            <w:vMerge w:val="restart"/>
            <w:vAlign w:val="center"/>
          </w:tcPr>
          <w:p>
            <w:pPr>
              <w:rPr>
                <w:rFonts w:ascii="黑体" w:hAnsi="黑体" w:eastAsia="黑体"/>
                <w:sz w:val="18"/>
                <w:szCs w:val="18"/>
              </w:rPr>
            </w:pPr>
            <w:r>
              <w:rPr>
                <w:rFonts w:hint="eastAsia" w:ascii="黑体" w:hAnsi="黑体" w:eastAsia="黑体"/>
                <w:color w:val="FF0000"/>
                <w:sz w:val="20"/>
                <w:szCs w:val="18"/>
              </w:rPr>
              <w:t>本栏累计计分不超过10分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814" w:type="dxa"/>
            <w:vMerge w:val="continue"/>
          </w:tcPr>
          <w:p>
            <w:pPr>
              <w:jc w:val="center"/>
            </w:pPr>
          </w:p>
        </w:tc>
        <w:tc>
          <w:tcPr>
            <w:tcW w:w="1702" w:type="dxa"/>
            <w:gridSpan w:val="3"/>
            <w:vMerge w:val="restart"/>
            <w:vAlign w:val="center"/>
          </w:tcPr>
          <w:p>
            <w:pPr>
              <w:jc w:val="center"/>
              <w:rPr>
                <w:sz w:val="18"/>
                <w:szCs w:val="18"/>
              </w:rPr>
            </w:pPr>
            <w:r>
              <w:rPr>
                <w:rFonts w:hint="eastAsia"/>
                <w:sz w:val="18"/>
                <w:szCs w:val="18"/>
              </w:rPr>
              <w:t>参加体质测试</w:t>
            </w:r>
          </w:p>
        </w:tc>
        <w:tc>
          <w:tcPr>
            <w:tcW w:w="1702" w:type="dxa"/>
            <w:gridSpan w:val="4"/>
            <w:vAlign w:val="center"/>
          </w:tcPr>
          <w:p>
            <w:pPr>
              <w:jc w:val="center"/>
              <w:rPr>
                <w:sz w:val="18"/>
                <w:szCs w:val="18"/>
              </w:rPr>
            </w:pPr>
            <w:r>
              <w:rPr>
                <w:rFonts w:hint="eastAsia"/>
                <w:sz w:val="18"/>
                <w:szCs w:val="18"/>
              </w:rPr>
              <w:t>优秀</w:t>
            </w:r>
          </w:p>
        </w:tc>
        <w:tc>
          <w:tcPr>
            <w:tcW w:w="1305" w:type="dxa"/>
            <w:vAlign w:val="center"/>
          </w:tcPr>
          <w:p>
            <w:pPr>
              <w:ind w:firstLine="210" w:firstLineChars="100"/>
            </w:pPr>
            <w:r>
              <w:t>2</w:t>
            </w:r>
            <w:r>
              <w:rPr>
                <w:rFonts w:hint="eastAsia"/>
              </w:rPr>
              <w:t>分</w:t>
            </w:r>
          </w:p>
        </w:tc>
        <w:tc>
          <w:tcPr>
            <w:tcW w:w="2694" w:type="dxa"/>
            <w:vMerge w:val="restart"/>
            <w:vAlign w:val="center"/>
          </w:tcPr>
          <w:p>
            <w:pPr>
              <w:rPr>
                <w:sz w:val="18"/>
                <w:szCs w:val="18"/>
              </w:rPr>
            </w:pPr>
          </w:p>
        </w:tc>
        <w:tc>
          <w:tcPr>
            <w:tcW w:w="963" w:type="dxa"/>
            <w:vMerge w:val="continue"/>
            <w:vAlign w:val="center"/>
          </w:tcPr>
          <w:p>
            <w:pPr>
              <w:rPr>
                <w:sz w:val="18"/>
                <w:szCs w:val="18"/>
              </w:rPr>
            </w:pPr>
          </w:p>
        </w:tc>
      </w:tr>
      <w:tr>
        <w:tblPrEx>
          <w:tblLayout w:type="fixed"/>
          <w:tblCellMar>
            <w:top w:w="0" w:type="dxa"/>
            <w:left w:w="108" w:type="dxa"/>
            <w:bottom w:w="0" w:type="dxa"/>
            <w:right w:w="108" w:type="dxa"/>
          </w:tblCellMar>
        </w:tblPrEx>
        <w:trPr>
          <w:trHeight w:val="235" w:hRule="atLeast"/>
        </w:trPr>
        <w:tc>
          <w:tcPr>
            <w:tcW w:w="814" w:type="dxa"/>
            <w:vMerge w:val="continue"/>
          </w:tcPr>
          <w:p>
            <w:pPr>
              <w:jc w:val="center"/>
            </w:pPr>
          </w:p>
        </w:tc>
        <w:tc>
          <w:tcPr>
            <w:tcW w:w="1702" w:type="dxa"/>
            <w:gridSpan w:val="3"/>
            <w:vMerge w:val="continue"/>
            <w:vAlign w:val="center"/>
          </w:tcPr>
          <w:p>
            <w:pPr>
              <w:rPr>
                <w:sz w:val="18"/>
                <w:szCs w:val="18"/>
              </w:rPr>
            </w:pPr>
          </w:p>
        </w:tc>
        <w:tc>
          <w:tcPr>
            <w:tcW w:w="1702" w:type="dxa"/>
            <w:gridSpan w:val="4"/>
            <w:vAlign w:val="center"/>
          </w:tcPr>
          <w:p>
            <w:pPr>
              <w:jc w:val="center"/>
              <w:rPr>
                <w:sz w:val="18"/>
                <w:szCs w:val="18"/>
              </w:rPr>
            </w:pPr>
            <w:r>
              <w:rPr>
                <w:rFonts w:hint="eastAsia"/>
                <w:sz w:val="18"/>
                <w:szCs w:val="18"/>
              </w:rPr>
              <w:t>合格</w:t>
            </w:r>
          </w:p>
        </w:tc>
        <w:tc>
          <w:tcPr>
            <w:tcW w:w="1305" w:type="dxa"/>
            <w:vAlign w:val="center"/>
          </w:tcPr>
          <w:p>
            <w:pPr>
              <w:ind w:firstLine="210" w:firstLineChars="100"/>
            </w:pPr>
            <w:r>
              <w:t>1</w:t>
            </w:r>
            <w:r>
              <w:rPr>
                <w:rFonts w:hint="eastAsia"/>
              </w:rPr>
              <w:t>分</w:t>
            </w:r>
          </w:p>
        </w:tc>
        <w:tc>
          <w:tcPr>
            <w:tcW w:w="2694" w:type="dxa"/>
            <w:vMerge w:val="continue"/>
            <w:vAlign w:val="center"/>
          </w:tcPr>
          <w:p>
            <w:pPr>
              <w:rPr>
                <w:sz w:val="18"/>
                <w:szCs w:val="18"/>
              </w:rPr>
            </w:pPr>
          </w:p>
        </w:tc>
        <w:tc>
          <w:tcPr>
            <w:tcW w:w="963" w:type="dxa"/>
            <w:vMerge w:val="continue"/>
            <w:vAlign w:val="center"/>
          </w:tcPr>
          <w:p>
            <w:pPr>
              <w:rPr>
                <w:sz w:val="18"/>
                <w:szCs w:val="18"/>
              </w:rPr>
            </w:pPr>
          </w:p>
        </w:tc>
      </w:tr>
      <w:tr>
        <w:tblPrEx>
          <w:tblLayout w:type="fixed"/>
          <w:tblCellMar>
            <w:top w:w="0" w:type="dxa"/>
            <w:left w:w="108" w:type="dxa"/>
            <w:bottom w:w="0" w:type="dxa"/>
            <w:right w:w="108" w:type="dxa"/>
          </w:tblCellMar>
        </w:tblPrEx>
        <w:trPr>
          <w:trHeight w:val="671" w:hRule="atLeast"/>
        </w:trPr>
        <w:tc>
          <w:tcPr>
            <w:tcW w:w="814" w:type="dxa"/>
            <w:vMerge w:val="continue"/>
          </w:tcPr>
          <w:p>
            <w:pPr>
              <w:jc w:val="center"/>
            </w:pPr>
          </w:p>
        </w:tc>
        <w:tc>
          <w:tcPr>
            <w:tcW w:w="1702" w:type="dxa"/>
            <w:gridSpan w:val="3"/>
            <w:vAlign w:val="center"/>
          </w:tcPr>
          <w:p>
            <w:pPr>
              <w:jc w:val="center"/>
              <w:rPr>
                <w:sz w:val="18"/>
                <w:szCs w:val="18"/>
              </w:rPr>
            </w:pPr>
            <w:r>
              <w:rPr>
                <w:rFonts w:hint="eastAsia"/>
                <w:sz w:val="18"/>
                <w:szCs w:val="18"/>
              </w:rPr>
              <w:t>各类荣誉</w:t>
            </w:r>
          </w:p>
        </w:tc>
        <w:tc>
          <w:tcPr>
            <w:tcW w:w="1702" w:type="dxa"/>
            <w:gridSpan w:val="4"/>
            <w:vAlign w:val="center"/>
          </w:tcPr>
          <w:p>
            <w:pPr>
              <w:jc w:val="center"/>
              <w:rPr>
                <w:sz w:val="18"/>
                <w:szCs w:val="18"/>
              </w:rPr>
            </w:pPr>
            <w:r>
              <w:rPr>
                <w:rFonts w:hint="eastAsia"/>
                <w:sz w:val="18"/>
                <w:szCs w:val="18"/>
              </w:rPr>
              <w:t>省部级以上</w:t>
            </w:r>
          </w:p>
        </w:tc>
        <w:tc>
          <w:tcPr>
            <w:tcW w:w="1305" w:type="dxa"/>
            <w:vAlign w:val="center"/>
          </w:tcPr>
          <w:p>
            <w:pPr>
              <w:ind w:firstLine="210" w:firstLineChars="100"/>
            </w:pPr>
            <w:r>
              <w:t>3</w:t>
            </w:r>
            <w:r>
              <w:rPr>
                <w:rFonts w:hint="eastAsia"/>
              </w:rPr>
              <w:t>分/项</w:t>
            </w:r>
          </w:p>
        </w:tc>
        <w:tc>
          <w:tcPr>
            <w:tcW w:w="2694" w:type="dxa"/>
            <w:vAlign w:val="center"/>
          </w:tcPr>
          <w:p>
            <w:pPr>
              <w:rPr>
                <w:rFonts w:asciiTheme="minorEastAsia" w:hAnsiTheme="minorEastAsia"/>
                <w:szCs w:val="21"/>
              </w:rPr>
            </w:pPr>
            <w:r>
              <w:rPr>
                <w:rFonts w:hint="eastAsia" w:asciiTheme="minorEastAsia" w:hAnsiTheme="minorEastAsia"/>
                <w:szCs w:val="21"/>
              </w:rPr>
              <w:t>可以累加，</w:t>
            </w:r>
            <w:r>
              <w:rPr>
                <w:rFonts w:asciiTheme="minorEastAsia" w:hAnsiTheme="minorEastAsia"/>
                <w:szCs w:val="21"/>
              </w:rPr>
              <w:t>6</w:t>
            </w:r>
            <w:r>
              <w:rPr>
                <w:rFonts w:hint="eastAsia" w:asciiTheme="minorEastAsia" w:hAnsiTheme="minorEastAsia"/>
                <w:szCs w:val="21"/>
              </w:rPr>
              <w:t>分封顶。</w:t>
            </w:r>
          </w:p>
        </w:tc>
        <w:tc>
          <w:tcPr>
            <w:tcW w:w="963" w:type="dxa"/>
            <w:vMerge w:val="continue"/>
            <w:vAlign w:val="center"/>
          </w:tcPr>
          <w:p>
            <w:pPr>
              <w:rPr>
                <w:rFonts w:asciiTheme="minorEastAsia" w:hAnsiTheme="minorEastAsia"/>
                <w:szCs w:val="21"/>
              </w:rPr>
            </w:pPr>
          </w:p>
        </w:tc>
      </w:tr>
    </w:tbl>
    <w:p/>
    <w:p>
      <w:pPr>
        <w:pStyle w:val="8"/>
        <w:ind w:firstLine="0" w:firstLineChars="0"/>
        <w:rPr>
          <w:b/>
        </w:rPr>
      </w:pPr>
    </w:p>
    <w:p>
      <w:pPr>
        <w:widowControl/>
        <w:jc w:val="left"/>
        <w:rPr>
          <w:b/>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111" o:spid="_x0000_s4111" o:spt="136" type="#_x0000_t136" style="position:absolute;left:0pt;margin-left:443.9pt;margin-top:515.95pt;height:70.5pt;width:160.2pt;mso-position-horizontal-relative:margin;mso-position-vertical-relative:margin;rotation:-2949120f;z-index:-124781568;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2" o:spid="_x0000_s4112" o:spt="136" type="#_x0000_t136" style="position:absolute;left:0pt;margin-left:284.3pt;margin-top:674.15pt;height:70.5pt;width:160.2pt;mso-position-horizontal-relative:margin;mso-position-vertical-relative:margin;rotation:-2949120f;z-index:-15833600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3" o:spid="_x0000_s4113" o:spt="136" type="#_x0000_t136" style="position:absolute;left:0pt;margin-left:410.3pt;margin-top:374.35pt;height:70.5pt;width:160.2pt;mso-position-horizontal-relative:margin;mso-position-vertical-relative:margin;rotation:-2949120f;z-index:-191890432;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4" o:spid="_x0000_s4114" o:spt="136" type="#_x0000_t136" style="position:absolute;left:0pt;margin-left:250.7pt;margin-top:532.55pt;height:70.5pt;width:160.2pt;mso-position-horizontal-relative:margin;mso-position-vertical-relative:margin;rotation:-2949120f;z-index:-225444864;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5" o:spid="_x0000_s4115" o:spt="136" type="#_x0000_t136" style="position:absolute;left:0pt;margin-left:87.5pt;margin-top:689.75pt;height:70.5pt;width:160.2pt;mso-position-horizontal-relative:margin;mso-position-vertical-relative:margin;rotation:-2949120f;z-index:-24222208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6" o:spid="_x0000_s4116" o:spt="136" type="#_x0000_t136" style="position:absolute;left:0pt;margin-left:97.1pt;margin-top:489.35pt;height:70.5pt;width:160.2pt;mso-position-horizontal-relative:margin;mso-position-vertical-relative:margin;rotation:-2949120f;z-index:-249562112;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7" o:spid="_x0000_s4117" o:spt="136" type="#_x0000_t136" style="position:absolute;left:0pt;margin-left:-77.5pt;margin-top:647.75pt;height:70.5pt;width:160.2pt;mso-position-horizontal-relative:margin;mso-position-vertical-relative:margin;rotation:-2949120f;z-index:-250610688;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8" o:spid="_x0000_s4118" o:spt="136" type="#_x0000_t136" style="position:absolute;left:0pt;margin-left:-96.7pt;margin-top:492.35pt;height:70.5pt;width:160.2pt;mso-position-horizontal-relative:margin;mso-position-vertical-relative:margin;rotation:-2949120f;z-index:-251134976;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19" o:spid="_x0000_s4119" o:spt="136" type="#_x0000_t136" style="position:absolute;left:0pt;margin-left:44.3pt;margin-top:362.75pt;height:70.5pt;width:160.2pt;mso-position-horizontal-relative:margin;mso-position-vertical-relative:margin;rotation:-2949120f;z-index:-25139712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136" type="#_x0000_t136" style="position:absolute;left:0pt;margin-left:931.7pt;margin-top:54.75pt;height:70.5pt;width:160.2pt;mso-position-horizontal-relative:margin;mso-position-vertical-relative:margin;rotation:-2949120f;z-index:-117441536;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098" o:spid="_x0000_s4098" o:spt="136" type="#_x0000_t136" style="position:absolute;left:0pt;margin-left:898.1pt;margin-top:-86.85pt;height:70.5pt;width:160.2pt;mso-position-horizontal-relative:margin;mso-position-vertical-relative:margin;rotation:-2949120f;z-index:-18455040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099" o:spid="_x0000_s4099" o:spt="136" type="#_x0000_t136" style="position:absolute;left:0pt;margin-left:738.5pt;margin-top:71.35pt;height:70.5pt;width:160.2pt;mso-position-horizontal-relative:margin;mso-position-vertical-relative:margin;rotation:-2949120f;z-index:-218104832;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0" o:spid="_x0000_s4100" o:spt="136" type="#_x0000_t136" style="position:absolute;left:0pt;margin-left:575.3pt;margin-top:228.55pt;height:70.5pt;width:160.2pt;mso-position-horizontal-relative:margin;mso-position-vertical-relative:margin;rotation:-2949120f;z-index:-234882048;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1" o:spid="_x0000_s4101" o:spt="136" type="#_x0000_t136" style="position:absolute;left:0pt;margin-left:410.3pt;margin-top:186.55pt;height:70.5pt;width:160.2pt;mso-position-horizontal-relative:margin;mso-position-vertical-relative:margin;rotation:-2949120f;z-index:-243270656;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2" o:spid="_x0000_s4102" o:spt="136" type="#_x0000_t136" style="position:absolute;left:0pt;margin-left:272.3pt;margin-top:345.35pt;height:70.5pt;width:160.2pt;mso-position-horizontal-relative:margin;mso-position-vertical-relative:margin;rotation:-2949120f;z-index:-24746496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3" o:spid="_x0000_s4103" o:spt="136" type="#_x0000_t136" style="position:absolute;left:0pt;margin-left:197.9pt;margin-top:216.35pt;height:70.5pt;width:160.2pt;mso-position-horizontal-relative:margin;mso-position-vertical-relative:margin;rotation:-2949120f;z-index:-251528192;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4" o:spid="_x0000_s4104" o:spt="136" type="#_x0000_t136" style="position:absolute;left:0pt;margin-left:355.1pt;margin-top:52.55pt;height:70.5pt;width:160.2pt;mso-position-horizontal-relative:margin;mso-position-vertical-relative:margin;rotation:-2949120f;z-index:-251593728;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5" o:spid="_x0000_s4105" o:spt="136" type="#_x0000_t136" style="position:absolute;left:0pt;margin-left:-88.9pt;margin-top:275.15pt;height:70.5pt;width:160.2pt;mso-position-horizontal-relative:margin;mso-position-vertical-relative:margin;rotation:-2949120f;z-index:-251626496;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6" o:spid="_x0000_s4106" o:spt="136" type="#_x0000_t136" style="position:absolute;left:0pt;margin-left:89.9pt;margin-top:119.15pt;height:70.5pt;width:160.2pt;mso-position-horizontal-relative:margin;mso-position-vertical-relative:margin;rotation:-2949120f;z-index:-25164288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7" o:spid="_x0000_s4107" o:spt="136" type="#_x0000_t136" style="position:absolute;left:0pt;margin-left:243.5pt;margin-top:-29.05pt;height:70.5pt;width:160.2pt;mso-position-horizontal-relative:margin;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8" o:spid="_x0000_s4108" o:spt="136" type="#_x0000_t136" style="position:absolute;left:0pt;margin-left:-66.7pt;margin-top:107.75pt;height:70.5pt;width:160.2pt;mso-position-horizontal-relative:margin;mso-position-vertical-relative:margin;rotation:-2949120f;z-index:-251655168;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_x0000_s4109" o:spid="_x0000_s4109" o:spt="136" type="#_x0000_t136" style="position:absolute;left:0pt;margin-left:71.9pt;margin-top:-32.65pt;height:70.5pt;width:160.2pt;mso-position-horizontal-relative:margin;mso-position-vertical-relative:margin;rotation:-2949120f;z-index:-251657216;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r>
      <w:rPr>
        <w:sz w:val="18"/>
      </w:rPr>
      <w:pict>
        <v:shape id="PowerPlusWaterMarkObject68036" o:spid="_x0000_s4110" o:spt="136" type="#_x0000_t136" style="position:absolute;left:0pt;margin-left:-91.9pt;margin-top:-16.45pt;height:70.5pt;width:160.2pt;mso-position-horizontal-relative:margin;mso-position-vertical-relative:margin;rotation:-2949120f;z-index:-251658240;mso-width-relative:page;mso-height-relative:page;" fillcolor="#C0C0C0" filled="t" stroked="f" coordsize="21600,21600" adj="10800">
          <v:path/>
          <v:fill on="t" color2="#FFFFFF" opacity="32768f" focussize="0,0"/>
          <v:stroke on="f"/>
          <v:imagedata o:title=""/>
          <o:lock v:ext="edit" aspectratio="t"/>
          <v:textpath on="t" fitshape="t" fitpath="t" trim="t" xscale="f" string="公示稿"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A3"/>
    <w:rsid w:val="000858A3"/>
    <w:rsid w:val="002179DB"/>
    <w:rsid w:val="00290DFC"/>
    <w:rsid w:val="002E0E7E"/>
    <w:rsid w:val="00456A3C"/>
    <w:rsid w:val="00771D02"/>
    <w:rsid w:val="0087034D"/>
    <w:rsid w:val="008A2798"/>
    <w:rsid w:val="008F5E8F"/>
    <w:rsid w:val="00C84BAC"/>
    <w:rsid w:val="00E56E99"/>
    <w:rsid w:val="00E624A7"/>
    <w:rsid w:val="00EE0CD2"/>
    <w:rsid w:val="00FA3B4A"/>
    <w:rsid w:val="04125F7B"/>
    <w:rsid w:val="0E107CFB"/>
    <w:rsid w:val="1DC75F55"/>
    <w:rsid w:val="6D9B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1045</Words>
  <Characters>5961</Characters>
  <Lines>49</Lines>
  <Paragraphs>13</Paragraphs>
  <TotalTime>19</TotalTime>
  <ScaleCrop>false</ScaleCrop>
  <LinksUpToDate>false</LinksUpToDate>
  <CharactersWithSpaces>6993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2018-05-18T13:51:00Z</dcterms:created>
  <dc:creator>liuybnku</dc:creator>
  <cp:lastModifiedBy>小米+步枪</cp:lastModifiedBy>
  <dcterms:modified xsi:type="dcterms:W3CDTF">2018-06-13T14:17:30Z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